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B4D" w:rsidRPr="007F14A6" w:rsidRDefault="00730B4D" w:rsidP="00730B4D">
      <w:pPr>
        <w:widowControl/>
        <w:spacing w:line="360" w:lineRule="exact"/>
        <w:ind w:firstLineChars="200" w:firstLine="420"/>
        <w:rPr>
          <w:rFonts w:eastAsia="黑体"/>
          <w:szCs w:val="21"/>
        </w:rPr>
      </w:pPr>
    </w:p>
    <w:p w:rsidR="00730B4D" w:rsidRPr="00730B4D" w:rsidRDefault="00730B4D" w:rsidP="00730B4D">
      <w:pPr>
        <w:widowControl/>
        <w:jc w:val="center"/>
        <w:rPr>
          <w:rFonts w:ascii="黑体" w:eastAsia="黑体" w:hAnsi="黑体"/>
          <w:kern w:val="0"/>
          <w:sz w:val="32"/>
          <w:szCs w:val="32"/>
        </w:rPr>
      </w:pPr>
      <w:r w:rsidRPr="00730B4D">
        <w:rPr>
          <w:rFonts w:ascii="黑体" w:eastAsia="黑体" w:hAnsi="黑体" w:hint="eastAsia"/>
          <w:kern w:val="0"/>
          <w:sz w:val="32"/>
          <w:szCs w:val="32"/>
        </w:rPr>
        <w:t>质押监管企业</w:t>
      </w:r>
      <w:r w:rsidRPr="00730B4D">
        <w:rPr>
          <w:rFonts w:ascii="黑体" w:eastAsia="黑体" w:hAnsi="黑体"/>
          <w:kern w:val="0"/>
          <w:sz w:val="32"/>
          <w:szCs w:val="32"/>
        </w:rPr>
        <w:t>评估指标</w:t>
      </w:r>
    </w:p>
    <w:p w:rsidR="00730B4D" w:rsidRPr="007F14A6" w:rsidRDefault="00730B4D" w:rsidP="00730B4D">
      <w:pPr>
        <w:widowControl/>
        <w:spacing w:line="380" w:lineRule="exact"/>
        <w:jc w:val="center"/>
        <w:rPr>
          <w:rFonts w:eastAsia="楷体_GB2312" w:hint="eastAsia"/>
          <w:szCs w:val="21"/>
        </w:rPr>
      </w:pPr>
      <w:r>
        <w:rPr>
          <w:rFonts w:eastAsia="楷体_GB2312" w:hint="eastAsia"/>
          <w:szCs w:val="21"/>
        </w:rPr>
        <w:t>Assessment</w:t>
      </w:r>
      <w:r w:rsidRPr="007F14A6">
        <w:rPr>
          <w:rFonts w:eastAsia="楷体_GB2312"/>
          <w:szCs w:val="21"/>
        </w:rPr>
        <w:t xml:space="preserve"> </w:t>
      </w:r>
      <w:r>
        <w:rPr>
          <w:rFonts w:eastAsia="楷体_GB2312" w:hint="eastAsia"/>
          <w:szCs w:val="21"/>
        </w:rPr>
        <w:t xml:space="preserve">standards of the pledge supervision </w:t>
      </w:r>
      <w:r>
        <w:rPr>
          <w:rFonts w:eastAsia="楷体_GB2312"/>
          <w:szCs w:val="21"/>
        </w:rPr>
        <w:t>enterprise</w:t>
      </w:r>
    </w:p>
    <w:p w:rsidR="00730B4D" w:rsidRPr="00B802A5" w:rsidRDefault="00730B4D" w:rsidP="00730B4D">
      <w:pPr>
        <w:widowControl/>
        <w:spacing w:line="380" w:lineRule="exact"/>
        <w:jc w:val="center"/>
        <w:rPr>
          <w:rFonts w:eastAsia="楷体_GB2312" w:hint="eastAsia"/>
          <w:b/>
          <w:szCs w:val="21"/>
        </w:rPr>
      </w:pPr>
      <w:r>
        <w:rPr>
          <w:rFonts w:eastAsia="楷体_GB2312" w:hint="eastAsia"/>
          <w:b/>
          <w:szCs w:val="21"/>
        </w:rPr>
        <w:t>S</w:t>
      </w:r>
      <w:r w:rsidRPr="00B802A5">
        <w:rPr>
          <w:rFonts w:eastAsia="楷体_GB2312"/>
          <w:b/>
          <w:szCs w:val="21"/>
        </w:rPr>
        <w:t>B/T 1</w:t>
      </w:r>
      <w:r>
        <w:rPr>
          <w:rFonts w:eastAsia="楷体_GB2312" w:hint="eastAsia"/>
          <w:b/>
          <w:szCs w:val="21"/>
        </w:rPr>
        <w:t>0979</w:t>
      </w:r>
      <w:r w:rsidRPr="00B802A5">
        <w:rPr>
          <w:rFonts w:eastAsia="楷体_GB2312"/>
          <w:b/>
          <w:szCs w:val="21"/>
        </w:rPr>
        <w:t>-20</w:t>
      </w:r>
      <w:r w:rsidRPr="00B802A5">
        <w:rPr>
          <w:rFonts w:eastAsia="楷体_GB2312" w:hint="eastAsia"/>
          <w:b/>
          <w:szCs w:val="21"/>
        </w:rPr>
        <w:t>13</w:t>
      </w:r>
    </w:p>
    <w:p w:rsidR="00730B4D" w:rsidRPr="007F14A6" w:rsidRDefault="00730B4D" w:rsidP="00730B4D">
      <w:pPr>
        <w:widowControl/>
        <w:spacing w:line="380" w:lineRule="exact"/>
        <w:jc w:val="center"/>
        <w:rPr>
          <w:rFonts w:eastAsia="楷体_GB2312"/>
          <w:szCs w:val="21"/>
        </w:rPr>
      </w:pPr>
      <w:smartTag w:uri="urn:schemas-microsoft-com:office:smarttags" w:element="chsdate">
        <w:smartTagPr>
          <w:attr w:name="Year" w:val="2013"/>
          <w:attr w:name="Month" w:val="4"/>
          <w:attr w:name="Day" w:val="16"/>
          <w:attr w:name="IsLunarDate" w:val="False"/>
          <w:attr w:name="IsROCDate" w:val="False"/>
        </w:smartTagPr>
        <w:r w:rsidRPr="007F14A6">
          <w:rPr>
            <w:rFonts w:eastAsia="楷体_GB2312"/>
            <w:szCs w:val="21"/>
          </w:rPr>
          <w:t>20</w:t>
        </w:r>
        <w:r>
          <w:rPr>
            <w:rFonts w:eastAsia="楷体_GB2312" w:hint="eastAsia"/>
            <w:szCs w:val="21"/>
          </w:rPr>
          <w:t>13</w:t>
        </w:r>
        <w:r w:rsidRPr="007F14A6">
          <w:rPr>
            <w:rFonts w:eastAsia="楷体_GB2312"/>
            <w:szCs w:val="21"/>
          </w:rPr>
          <w:t>-</w:t>
        </w:r>
        <w:r>
          <w:rPr>
            <w:rFonts w:eastAsia="楷体_GB2312" w:hint="eastAsia"/>
            <w:szCs w:val="21"/>
          </w:rPr>
          <w:t>04</w:t>
        </w:r>
        <w:r w:rsidRPr="007F14A6">
          <w:rPr>
            <w:rFonts w:eastAsia="楷体_GB2312"/>
            <w:szCs w:val="21"/>
          </w:rPr>
          <w:t>-</w:t>
        </w:r>
        <w:r>
          <w:rPr>
            <w:rFonts w:eastAsia="楷体_GB2312" w:hint="eastAsia"/>
            <w:szCs w:val="21"/>
          </w:rPr>
          <w:t>16</w:t>
        </w:r>
      </w:smartTag>
      <w:r w:rsidRPr="007F14A6">
        <w:rPr>
          <w:rFonts w:eastAsia="楷体_GB2312"/>
          <w:szCs w:val="21"/>
        </w:rPr>
        <w:t>发布</w:t>
      </w:r>
      <w:r w:rsidRPr="007F14A6">
        <w:rPr>
          <w:rFonts w:eastAsia="楷体_GB2312"/>
          <w:szCs w:val="21"/>
        </w:rPr>
        <w:t xml:space="preserve">                                </w:t>
      </w:r>
      <w:smartTag w:uri="urn:schemas-microsoft-com:office:smarttags" w:element="chsdate">
        <w:smartTagPr>
          <w:attr w:name="Year" w:val="2013"/>
          <w:attr w:name="Month" w:val="11"/>
          <w:attr w:name="Day" w:val="1"/>
          <w:attr w:name="IsLunarDate" w:val="False"/>
          <w:attr w:name="IsROCDate" w:val="False"/>
        </w:smartTagPr>
        <w:r w:rsidRPr="007F14A6">
          <w:rPr>
            <w:rFonts w:eastAsia="楷体_GB2312"/>
            <w:szCs w:val="21"/>
          </w:rPr>
          <w:t>20</w:t>
        </w:r>
        <w:r>
          <w:rPr>
            <w:rFonts w:eastAsia="楷体_GB2312" w:hint="eastAsia"/>
            <w:szCs w:val="21"/>
          </w:rPr>
          <w:t>13</w:t>
        </w:r>
        <w:r w:rsidRPr="007F14A6">
          <w:rPr>
            <w:rFonts w:eastAsia="楷体_GB2312"/>
            <w:szCs w:val="21"/>
          </w:rPr>
          <w:t>-</w:t>
        </w:r>
        <w:r>
          <w:rPr>
            <w:rFonts w:eastAsia="楷体_GB2312" w:hint="eastAsia"/>
            <w:szCs w:val="21"/>
          </w:rPr>
          <w:t>11</w:t>
        </w:r>
        <w:r w:rsidRPr="007F14A6">
          <w:rPr>
            <w:rFonts w:eastAsia="楷体_GB2312"/>
            <w:szCs w:val="21"/>
          </w:rPr>
          <w:t>-01</w:t>
        </w:r>
      </w:smartTag>
      <w:r w:rsidRPr="007F14A6">
        <w:rPr>
          <w:rFonts w:eastAsia="楷体_GB2312"/>
          <w:szCs w:val="21"/>
        </w:rPr>
        <w:t>实施</w:t>
      </w:r>
    </w:p>
    <w:p w:rsidR="00730B4D" w:rsidRPr="007F14A6" w:rsidRDefault="00730B4D" w:rsidP="00730B4D">
      <w:pPr>
        <w:widowControl/>
        <w:spacing w:line="380" w:lineRule="exact"/>
        <w:ind w:firstLineChars="200" w:firstLine="420"/>
        <w:rPr>
          <w:szCs w:val="21"/>
        </w:rPr>
      </w:pPr>
    </w:p>
    <w:p w:rsidR="00730B4D" w:rsidRPr="007F14A6" w:rsidRDefault="00730B4D" w:rsidP="00730B4D">
      <w:pPr>
        <w:widowControl/>
        <w:spacing w:line="380" w:lineRule="exact"/>
        <w:jc w:val="center"/>
        <w:rPr>
          <w:rFonts w:eastAsia="黑体"/>
          <w:szCs w:val="21"/>
        </w:rPr>
      </w:pPr>
      <w:r w:rsidRPr="007F14A6">
        <w:rPr>
          <w:rFonts w:eastAsia="黑体"/>
          <w:szCs w:val="21"/>
        </w:rPr>
        <w:t>前言</w:t>
      </w:r>
    </w:p>
    <w:p w:rsidR="00730B4D" w:rsidRPr="007F14A6" w:rsidRDefault="00730B4D" w:rsidP="00730B4D">
      <w:pPr>
        <w:widowControl/>
        <w:spacing w:line="380" w:lineRule="exact"/>
        <w:ind w:firstLineChars="200" w:firstLine="420"/>
        <w:rPr>
          <w:szCs w:val="21"/>
        </w:rPr>
      </w:pPr>
      <w:r w:rsidRPr="007F14A6">
        <w:rPr>
          <w:szCs w:val="21"/>
        </w:rPr>
        <w:t>本标准</w:t>
      </w:r>
      <w:r>
        <w:rPr>
          <w:rFonts w:hint="eastAsia"/>
          <w:szCs w:val="21"/>
        </w:rPr>
        <w:t>按照</w:t>
      </w:r>
      <w:r>
        <w:rPr>
          <w:rFonts w:hint="eastAsia"/>
          <w:szCs w:val="21"/>
        </w:rPr>
        <w:t>GB/T 1.1</w:t>
      </w:r>
      <w:r>
        <w:rPr>
          <w:rFonts w:hint="eastAsia"/>
          <w:szCs w:val="21"/>
        </w:rPr>
        <w:t>—</w:t>
      </w:r>
      <w:r>
        <w:rPr>
          <w:rFonts w:hint="eastAsia"/>
          <w:szCs w:val="21"/>
        </w:rPr>
        <w:t>2009</w:t>
      </w:r>
      <w:r>
        <w:rPr>
          <w:rFonts w:hint="eastAsia"/>
          <w:szCs w:val="21"/>
        </w:rPr>
        <w:t>给出的规则起草</w:t>
      </w:r>
      <w:r w:rsidRPr="007F14A6">
        <w:rPr>
          <w:szCs w:val="21"/>
        </w:rPr>
        <w:t>。</w:t>
      </w:r>
    </w:p>
    <w:p w:rsidR="00730B4D" w:rsidRDefault="00730B4D" w:rsidP="00730B4D">
      <w:pPr>
        <w:widowControl/>
        <w:spacing w:line="380" w:lineRule="exact"/>
        <w:ind w:firstLineChars="200" w:firstLine="420"/>
        <w:rPr>
          <w:rFonts w:hint="eastAsia"/>
          <w:szCs w:val="21"/>
        </w:rPr>
      </w:pPr>
      <w:r w:rsidRPr="007F14A6">
        <w:rPr>
          <w:szCs w:val="21"/>
        </w:rPr>
        <w:t>本标准</w:t>
      </w:r>
      <w:r>
        <w:rPr>
          <w:rFonts w:hint="eastAsia"/>
          <w:szCs w:val="21"/>
        </w:rPr>
        <w:t>由中华人民共和国商务部提出并归口。</w:t>
      </w:r>
    </w:p>
    <w:p w:rsidR="00730B4D" w:rsidRPr="007F14A6" w:rsidRDefault="00730B4D" w:rsidP="00730B4D">
      <w:pPr>
        <w:widowControl/>
        <w:spacing w:line="380" w:lineRule="exact"/>
        <w:ind w:firstLineChars="200" w:firstLine="420"/>
        <w:rPr>
          <w:szCs w:val="21"/>
        </w:rPr>
      </w:pPr>
      <w:r w:rsidRPr="007F14A6">
        <w:rPr>
          <w:szCs w:val="21"/>
        </w:rPr>
        <w:t>本标准</w:t>
      </w:r>
      <w:r>
        <w:rPr>
          <w:rFonts w:hint="eastAsia"/>
          <w:szCs w:val="21"/>
        </w:rPr>
        <w:t>起草</w:t>
      </w:r>
      <w:r w:rsidRPr="007F14A6">
        <w:rPr>
          <w:szCs w:val="21"/>
        </w:rPr>
        <w:t>单位：</w:t>
      </w:r>
      <w:r>
        <w:rPr>
          <w:rFonts w:hint="eastAsia"/>
          <w:szCs w:val="21"/>
        </w:rPr>
        <w:t>中国物资储运协会、中储发展股份有限公司、中国外运长航集团有限公司、西安交通大学、</w:t>
      </w:r>
      <w:proofErr w:type="gramStart"/>
      <w:r>
        <w:rPr>
          <w:rFonts w:hint="eastAsia"/>
          <w:szCs w:val="21"/>
        </w:rPr>
        <w:t>淮矿现代</w:t>
      </w:r>
      <w:proofErr w:type="gramEnd"/>
      <w:r>
        <w:rPr>
          <w:rFonts w:hint="eastAsia"/>
          <w:szCs w:val="21"/>
        </w:rPr>
        <w:t>物流有限公司</w:t>
      </w:r>
      <w:r w:rsidRPr="007F14A6">
        <w:rPr>
          <w:szCs w:val="21"/>
        </w:rPr>
        <w:t>。</w:t>
      </w:r>
    </w:p>
    <w:p w:rsidR="00730B4D" w:rsidRPr="007F14A6" w:rsidRDefault="00730B4D" w:rsidP="00730B4D">
      <w:pPr>
        <w:widowControl/>
        <w:spacing w:line="380" w:lineRule="exact"/>
        <w:ind w:firstLineChars="200" w:firstLine="420"/>
        <w:rPr>
          <w:szCs w:val="21"/>
        </w:rPr>
      </w:pPr>
      <w:r>
        <w:rPr>
          <w:rFonts w:hint="eastAsia"/>
          <w:szCs w:val="21"/>
        </w:rPr>
        <w:t>本标准</w:t>
      </w:r>
      <w:r w:rsidRPr="007F14A6">
        <w:rPr>
          <w:szCs w:val="21"/>
        </w:rPr>
        <w:t>主要起草人：</w:t>
      </w:r>
      <w:proofErr w:type="gramStart"/>
      <w:r>
        <w:rPr>
          <w:rFonts w:hint="eastAsia"/>
          <w:szCs w:val="21"/>
        </w:rPr>
        <w:t>姜超峰</w:t>
      </w:r>
      <w:proofErr w:type="gramEnd"/>
      <w:r>
        <w:rPr>
          <w:rFonts w:hint="eastAsia"/>
          <w:szCs w:val="21"/>
        </w:rPr>
        <w:t>、冯耕中、付旭东、王雷、刘洪波、肖星、李毅学、汪寿阳、窦永虎</w:t>
      </w:r>
      <w:r w:rsidRPr="007F14A6">
        <w:rPr>
          <w:szCs w:val="21"/>
        </w:rPr>
        <w:t>。</w:t>
      </w:r>
    </w:p>
    <w:p w:rsidR="00730B4D" w:rsidRDefault="00730B4D" w:rsidP="00730B4D">
      <w:pPr>
        <w:widowControl/>
        <w:spacing w:line="360" w:lineRule="exact"/>
        <w:ind w:firstLineChars="200" w:firstLine="420"/>
        <w:rPr>
          <w:rFonts w:hint="eastAsia"/>
          <w:szCs w:val="21"/>
        </w:rPr>
      </w:pPr>
    </w:p>
    <w:p w:rsidR="00730B4D" w:rsidRDefault="00730B4D" w:rsidP="00730B4D">
      <w:pPr>
        <w:widowControl/>
        <w:spacing w:line="360" w:lineRule="exact"/>
        <w:ind w:firstLineChars="200" w:firstLine="420"/>
        <w:rPr>
          <w:rFonts w:hint="eastAsia"/>
          <w:szCs w:val="21"/>
        </w:rPr>
      </w:pPr>
    </w:p>
    <w:p w:rsidR="00730B4D" w:rsidRDefault="00730B4D" w:rsidP="00730B4D">
      <w:pPr>
        <w:widowControl/>
        <w:spacing w:line="360" w:lineRule="exact"/>
        <w:ind w:firstLineChars="200" w:firstLine="420"/>
        <w:rPr>
          <w:rFonts w:hint="eastAsia"/>
          <w:szCs w:val="21"/>
        </w:rPr>
      </w:pPr>
    </w:p>
    <w:p w:rsidR="00730B4D" w:rsidRDefault="00730B4D" w:rsidP="00730B4D">
      <w:pPr>
        <w:widowControl/>
        <w:spacing w:line="360" w:lineRule="exact"/>
        <w:ind w:firstLineChars="200" w:firstLine="420"/>
        <w:rPr>
          <w:rFonts w:hint="eastAsia"/>
          <w:szCs w:val="21"/>
        </w:rPr>
      </w:pPr>
    </w:p>
    <w:p w:rsidR="00730B4D" w:rsidRDefault="00730B4D" w:rsidP="00730B4D">
      <w:pPr>
        <w:widowControl/>
        <w:spacing w:line="360" w:lineRule="exact"/>
        <w:ind w:firstLineChars="200" w:firstLine="420"/>
        <w:rPr>
          <w:rFonts w:hint="eastAsia"/>
          <w:szCs w:val="21"/>
        </w:rPr>
      </w:pPr>
    </w:p>
    <w:p w:rsidR="00730B4D" w:rsidRDefault="00730B4D" w:rsidP="00730B4D">
      <w:pPr>
        <w:widowControl/>
        <w:spacing w:line="360" w:lineRule="exact"/>
        <w:ind w:firstLineChars="200" w:firstLine="420"/>
        <w:rPr>
          <w:rFonts w:hint="eastAsia"/>
          <w:szCs w:val="21"/>
        </w:rPr>
      </w:pPr>
    </w:p>
    <w:p w:rsidR="00730B4D" w:rsidRDefault="00730B4D" w:rsidP="00730B4D">
      <w:pPr>
        <w:widowControl/>
        <w:spacing w:line="360" w:lineRule="exact"/>
        <w:ind w:firstLineChars="200" w:firstLine="420"/>
        <w:rPr>
          <w:rFonts w:hint="eastAsia"/>
          <w:szCs w:val="21"/>
        </w:rPr>
      </w:pPr>
    </w:p>
    <w:p w:rsidR="00730B4D" w:rsidRDefault="00730B4D" w:rsidP="00730B4D">
      <w:pPr>
        <w:widowControl/>
        <w:spacing w:line="360" w:lineRule="exact"/>
        <w:ind w:firstLineChars="200" w:firstLine="420"/>
        <w:rPr>
          <w:rFonts w:hint="eastAsia"/>
          <w:szCs w:val="21"/>
        </w:rPr>
      </w:pPr>
    </w:p>
    <w:p w:rsidR="00730B4D" w:rsidRDefault="00730B4D" w:rsidP="00730B4D">
      <w:pPr>
        <w:widowControl/>
        <w:spacing w:line="360" w:lineRule="exact"/>
        <w:ind w:firstLineChars="200" w:firstLine="420"/>
        <w:rPr>
          <w:rFonts w:hint="eastAsia"/>
          <w:szCs w:val="21"/>
        </w:rPr>
      </w:pPr>
    </w:p>
    <w:p w:rsidR="00730B4D" w:rsidRDefault="00730B4D" w:rsidP="00730B4D">
      <w:pPr>
        <w:widowControl/>
        <w:spacing w:line="360" w:lineRule="exact"/>
        <w:ind w:firstLineChars="200" w:firstLine="420"/>
        <w:rPr>
          <w:rFonts w:hint="eastAsia"/>
          <w:szCs w:val="21"/>
        </w:rPr>
      </w:pPr>
    </w:p>
    <w:p w:rsidR="00730B4D" w:rsidRDefault="00730B4D" w:rsidP="00730B4D">
      <w:pPr>
        <w:widowControl/>
        <w:spacing w:line="360" w:lineRule="exact"/>
        <w:ind w:firstLineChars="200" w:firstLine="420"/>
        <w:rPr>
          <w:rFonts w:hint="eastAsia"/>
          <w:szCs w:val="21"/>
        </w:rPr>
      </w:pPr>
    </w:p>
    <w:p w:rsidR="00730B4D" w:rsidRDefault="00730B4D" w:rsidP="00730B4D">
      <w:pPr>
        <w:widowControl/>
        <w:spacing w:line="360" w:lineRule="exact"/>
        <w:ind w:firstLineChars="200" w:firstLine="420"/>
        <w:rPr>
          <w:rFonts w:hint="eastAsia"/>
          <w:szCs w:val="21"/>
        </w:rPr>
      </w:pPr>
    </w:p>
    <w:p w:rsidR="00730B4D" w:rsidRDefault="00730B4D" w:rsidP="00730B4D">
      <w:pPr>
        <w:widowControl/>
        <w:spacing w:line="360" w:lineRule="exact"/>
        <w:ind w:firstLineChars="200" w:firstLine="420"/>
        <w:rPr>
          <w:rFonts w:hint="eastAsia"/>
          <w:szCs w:val="21"/>
        </w:rPr>
      </w:pPr>
    </w:p>
    <w:p w:rsidR="00730B4D" w:rsidRDefault="00730B4D" w:rsidP="00730B4D">
      <w:pPr>
        <w:widowControl/>
        <w:spacing w:line="360" w:lineRule="exact"/>
        <w:ind w:firstLineChars="200" w:firstLine="420"/>
        <w:rPr>
          <w:rFonts w:hint="eastAsia"/>
          <w:szCs w:val="21"/>
        </w:rPr>
      </w:pPr>
    </w:p>
    <w:p w:rsidR="00730B4D" w:rsidRDefault="00730B4D" w:rsidP="00730B4D">
      <w:pPr>
        <w:widowControl/>
        <w:spacing w:line="360" w:lineRule="exact"/>
        <w:ind w:firstLineChars="200" w:firstLine="420"/>
        <w:rPr>
          <w:rFonts w:hint="eastAsia"/>
          <w:szCs w:val="21"/>
        </w:rPr>
      </w:pPr>
    </w:p>
    <w:p w:rsidR="00730B4D" w:rsidRDefault="00730B4D" w:rsidP="00730B4D">
      <w:pPr>
        <w:widowControl/>
        <w:spacing w:line="360" w:lineRule="exact"/>
        <w:ind w:firstLineChars="200" w:firstLine="420"/>
        <w:rPr>
          <w:rFonts w:hint="eastAsia"/>
          <w:szCs w:val="21"/>
        </w:rPr>
      </w:pPr>
    </w:p>
    <w:p w:rsidR="00730B4D" w:rsidRDefault="00730B4D" w:rsidP="00730B4D">
      <w:pPr>
        <w:widowControl/>
        <w:spacing w:line="360" w:lineRule="exact"/>
        <w:ind w:firstLineChars="200" w:firstLine="420"/>
        <w:rPr>
          <w:rFonts w:hint="eastAsia"/>
          <w:szCs w:val="21"/>
        </w:rPr>
      </w:pPr>
    </w:p>
    <w:p w:rsidR="00730B4D" w:rsidRDefault="00730B4D" w:rsidP="00730B4D">
      <w:pPr>
        <w:widowControl/>
        <w:spacing w:line="360" w:lineRule="exact"/>
        <w:ind w:firstLineChars="200" w:firstLine="420"/>
        <w:rPr>
          <w:rFonts w:hint="eastAsia"/>
          <w:szCs w:val="21"/>
        </w:rPr>
      </w:pPr>
    </w:p>
    <w:p w:rsidR="00730B4D" w:rsidRDefault="00730B4D" w:rsidP="00730B4D">
      <w:pPr>
        <w:widowControl/>
        <w:spacing w:line="360" w:lineRule="exact"/>
        <w:ind w:firstLineChars="200" w:firstLine="420"/>
        <w:rPr>
          <w:rFonts w:hint="eastAsia"/>
          <w:szCs w:val="21"/>
        </w:rPr>
      </w:pPr>
    </w:p>
    <w:p w:rsidR="00730B4D" w:rsidRDefault="00730B4D" w:rsidP="00730B4D">
      <w:pPr>
        <w:widowControl/>
        <w:spacing w:line="360" w:lineRule="exact"/>
        <w:ind w:firstLineChars="200" w:firstLine="420"/>
        <w:rPr>
          <w:rFonts w:hint="eastAsia"/>
          <w:szCs w:val="21"/>
        </w:rPr>
      </w:pPr>
    </w:p>
    <w:p w:rsidR="00730B4D" w:rsidRDefault="00730B4D" w:rsidP="00730B4D">
      <w:pPr>
        <w:widowControl/>
        <w:spacing w:line="360" w:lineRule="exact"/>
        <w:ind w:firstLineChars="200" w:firstLine="420"/>
        <w:rPr>
          <w:rFonts w:hint="eastAsia"/>
          <w:szCs w:val="21"/>
        </w:rPr>
      </w:pPr>
    </w:p>
    <w:p w:rsidR="00730B4D" w:rsidRDefault="00730B4D" w:rsidP="00730B4D">
      <w:pPr>
        <w:widowControl/>
        <w:spacing w:line="360" w:lineRule="exact"/>
        <w:ind w:firstLineChars="200" w:firstLine="420"/>
        <w:rPr>
          <w:rFonts w:hint="eastAsia"/>
          <w:szCs w:val="21"/>
        </w:rPr>
      </w:pPr>
    </w:p>
    <w:p w:rsidR="00730B4D" w:rsidRDefault="00730B4D" w:rsidP="00730B4D">
      <w:pPr>
        <w:widowControl/>
        <w:spacing w:line="360" w:lineRule="exact"/>
        <w:ind w:firstLineChars="200" w:firstLine="420"/>
        <w:rPr>
          <w:rFonts w:hint="eastAsia"/>
          <w:szCs w:val="21"/>
        </w:rPr>
      </w:pPr>
    </w:p>
    <w:p w:rsidR="00730B4D" w:rsidRDefault="00730B4D" w:rsidP="00730B4D">
      <w:pPr>
        <w:widowControl/>
        <w:spacing w:line="360" w:lineRule="exact"/>
        <w:ind w:firstLineChars="200" w:firstLine="420"/>
        <w:rPr>
          <w:rFonts w:hint="eastAsia"/>
          <w:szCs w:val="21"/>
        </w:rPr>
      </w:pPr>
    </w:p>
    <w:p w:rsidR="00730B4D" w:rsidRPr="009D21AD" w:rsidRDefault="00730B4D" w:rsidP="00730B4D">
      <w:pPr>
        <w:jc w:val="center"/>
        <w:rPr>
          <w:rFonts w:ascii="黑体" w:eastAsia="黑体" w:hAnsi="宋体"/>
          <w:bCs/>
          <w:spacing w:val="10"/>
          <w:sz w:val="30"/>
          <w:szCs w:val="30"/>
        </w:rPr>
      </w:pPr>
      <w:r w:rsidRPr="009D21AD">
        <w:rPr>
          <w:rFonts w:ascii="黑体" w:eastAsia="黑体" w:hAnsi="宋体"/>
          <w:bCs/>
          <w:spacing w:val="10"/>
          <w:sz w:val="30"/>
          <w:szCs w:val="30"/>
        </w:rPr>
        <w:lastRenderedPageBreak/>
        <w:t>质</w:t>
      </w:r>
      <w:bookmarkStart w:id="0" w:name="StandardName"/>
      <w:r w:rsidRPr="009D21AD">
        <w:rPr>
          <w:rFonts w:ascii="黑体" w:eastAsia="黑体" w:hAnsi="宋体"/>
          <w:bCs/>
          <w:spacing w:val="10"/>
          <w:sz w:val="30"/>
          <w:szCs w:val="30"/>
        </w:rPr>
        <w:t>押监管企业评估指标</w:t>
      </w:r>
      <w:bookmarkEnd w:id="0"/>
    </w:p>
    <w:p w:rsidR="00730B4D" w:rsidRPr="000D5C2B" w:rsidRDefault="00730B4D" w:rsidP="00730B4D">
      <w:pPr>
        <w:pStyle w:val="a"/>
        <w:numPr>
          <w:ilvl w:val="0"/>
          <w:numId w:val="2"/>
        </w:numPr>
        <w:rPr>
          <w:rFonts w:ascii="宋体" w:eastAsia="宋体" w:hAnsi="宋体"/>
          <w:szCs w:val="21"/>
        </w:rPr>
      </w:pPr>
      <w:r w:rsidRPr="000D5C2B">
        <w:rPr>
          <w:rFonts w:ascii="宋体" w:eastAsia="宋体" w:hAnsi="宋体"/>
          <w:szCs w:val="21"/>
        </w:rPr>
        <w:t>范围</w:t>
      </w:r>
    </w:p>
    <w:p w:rsidR="00730B4D" w:rsidRPr="00107006" w:rsidRDefault="00730B4D" w:rsidP="00730B4D">
      <w:pPr>
        <w:pStyle w:val="a9"/>
        <w:rPr>
          <w:rFonts w:hAnsi="宋体"/>
          <w:szCs w:val="21"/>
        </w:rPr>
      </w:pPr>
      <w:r w:rsidRPr="00107006">
        <w:rPr>
          <w:rFonts w:hAnsi="宋体"/>
          <w:szCs w:val="21"/>
        </w:rPr>
        <w:t>本标准规定了质押监管企业的资格和条件、监管质量、不应从事的行为以及评估指标。</w:t>
      </w:r>
    </w:p>
    <w:p w:rsidR="00730B4D" w:rsidRPr="00107006" w:rsidRDefault="00730B4D" w:rsidP="00730B4D">
      <w:pPr>
        <w:pStyle w:val="a9"/>
        <w:rPr>
          <w:rFonts w:hAnsi="宋体"/>
          <w:szCs w:val="21"/>
        </w:rPr>
      </w:pPr>
      <w:r w:rsidRPr="00107006">
        <w:rPr>
          <w:rFonts w:hAnsi="宋体"/>
          <w:szCs w:val="21"/>
        </w:rPr>
        <w:t>本标准适用于从事质押监管业务的企业的评估和管理。</w:t>
      </w:r>
    </w:p>
    <w:p w:rsidR="00730B4D" w:rsidRPr="00107006" w:rsidRDefault="00730B4D" w:rsidP="00730B4D">
      <w:pPr>
        <w:pStyle w:val="a"/>
        <w:rPr>
          <w:rFonts w:ascii="宋体" w:eastAsia="宋体" w:hAnsi="宋体"/>
          <w:szCs w:val="21"/>
        </w:rPr>
      </w:pPr>
      <w:r w:rsidRPr="00107006">
        <w:rPr>
          <w:rFonts w:ascii="宋体" w:eastAsia="宋体" w:hAnsi="宋体"/>
          <w:szCs w:val="21"/>
        </w:rPr>
        <w:t>规范性引用文件</w:t>
      </w:r>
    </w:p>
    <w:p w:rsidR="00730B4D" w:rsidRPr="00107006" w:rsidRDefault="00730B4D" w:rsidP="00730B4D">
      <w:pPr>
        <w:pStyle w:val="a9"/>
        <w:rPr>
          <w:rFonts w:hAnsi="宋体"/>
          <w:szCs w:val="21"/>
        </w:rPr>
      </w:pPr>
      <w:r w:rsidRPr="00107006">
        <w:rPr>
          <w:rFonts w:hAnsi="宋体"/>
          <w:szCs w:val="21"/>
        </w:rPr>
        <w:t>下列文件对于本文件的应用是必不可少的。凡是注日期的引用文件，仅注日期的版本适用于本文件。凡是不注日期的引用文件，其最新版本（包括所有的修改单）适用于本文件。</w:t>
      </w:r>
    </w:p>
    <w:p w:rsidR="00730B4D" w:rsidRPr="00107006" w:rsidRDefault="00730B4D" w:rsidP="00730B4D">
      <w:pPr>
        <w:pStyle w:val="a9"/>
        <w:rPr>
          <w:rFonts w:hAnsi="宋体"/>
          <w:szCs w:val="21"/>
        </w:rPr>
      </w:pPr>
      <w:r w:rsidRPr="00107006">
        <w:rPr>
          <w:rFonts w:hAnsi="宋体"/>
          <w:szCs w:val="21"/>
        </w:rPr>
        <w:t>GB/T 18354—2006 物流术语</w:t>
      </w:r>
    </w:p>
    <w:p w:rsidR="00730B4D" w:rsidRPr="00107006" w:rsidRDefault="00730B4D" w:rsidP="00730B4D">
      <w:pPr>
        <w:pStyle w:val="a9"/>
        <w:rPr>
          <w:rFonts w:hAnsi="宋体"/>
          <w:szCs w:val="21"/>
        </w:rPr>
      </w:pPr>
      <w:r w:rsidRPr="00107006">
        <w:rPr>
          <w:rFonts w:hAnsi="宋体"/>
          <w:szCs w:val="21"/>
        </w:rPr>
        <w:t>SB/T 10978—2013 动产质押监管服务规范</w:t>
      </w:r>
    </w:p>
    <w:p w:rsidR="00730B4D" w:rsidRPr="00107006" w:rsidRDefault="00730B4D" w:rsidP="00730B4D">
      <w:pPr>
        <w:pStyle w:val="a"/>
        <w:rPr>
          <w:rFonts w:ascii="宋体" w:eastAsia="宋体" w:hAnsi="宋体"/>
          <w:szCs w:val="21"/>
        </w:rPr>
      </w:pPr>
      <w:r w:rsidRPr="00107006">
        <w:rPr>
          <w:rFonts w:ascii="宋体" w:eastAsia="宋体" w:hAnsi="宋体"/>
          <w:szCs w:val="21"/>
        </w:rPr>
        <w:t>术语和定义</w:t>
      </w:r>
    </w:p>
    <w:p w:rsidR="00730B4D" w:rsidRPr="00107006" w:rsidRDefault="00730B4D" w:rsidP="00730B4D">
      <w:pPr>
        <w:pStyle w:val="a9"/>
        <w:rPr>
          <w:rFonts w:hAnsi="宋体"/>
          <w:szCs w:val="21"/>
        </w:rPr>
      </w:pPr>
      <w:r w:rsidRPr="00107006">
        <w:rPr>
          <w:rFonts w:hAnsi="宋体"/>
          <w:szCs w:val="21"/>
        </w:rPr>
        <w:t>GB/T 18354—2006及SB/T 10978—2013 所界定的术语</w:t>
      </w:r>
      <w:r w:rsidRPr="00107006">
        <w:rPr>
          <w:rFonts w:hAnsi="宋体" w:hint="eastAsia"/>
          <w:szCs w:val="21"/>
        </w:rPr>
        <w:t>和定义</w:t>
      </w:r>
      <w:r w:rsidRPr="00107006">
        <w:rPr>
          <w:rFonts w:hAnsi="宋体"/>
          <w:szCs w:val="21"/>
        </w:rPr>
        <w:t>适用于本文件。</w:t>
      </w:r>
    </w:p>
    <w:p w:rsidR="00730B4D" w:rsidRPr="00107006" w:rsidRDefault="00730B4D" w:rsidP="00730B4D">
      <w:pPr>
        <w:pStyle w:val="a"/>
        <w:rPr>
          <w:rFonts w:ascii="宋体" w:eastAsia="宋体" w:hAnsi="宋体"/>
          <w:szCs w:val="21"/>
        </w:rPr>
      </w:pPr>
      <w:r w:rsidRPr="00107006">
        <w:rPr>
          <w:rFonts w:ascii="宋体" w:eastAsia="宋体" w:hAnsi="宋体"/>
          <w:szCs w:val="21"/>
        </w:rPr>
        <w:t>质押监管企业的资格和条件</w:t>
      </w:r>
    </w:p>
    <w:p w:rsidR="00730B4D" w:rsidRPr="00107006" w:rsidRDefault="00730B4D" w:rsidP="00730B4D">
      <w:pPr>
        <w:pStyle w:val="a0"/>
        <w:spacing w:beforeLines="0" w:afterLines="0"/>
        <w:ind w:left="357"/>
        <w:rPr>
          <w:rFonts w:ascii="宋体" w:eastAsia="宋体" w:hAnsi="宋体"/>
        </w:rPr>
      </w:pPr>
      <w:r w:rsidRPr="00107006">
        <w:rPr>
          <w:rFonts w:ascii="宋体" w:eastAsia="宋体" w:hAnsi="宋体"/>
        </w:rPr>
        <w:t>质押监管企业应是在国家工商行政部门登记注册的企业法人，也可以是企业法人承担担保责任的非法人企业。</w:t>
      </w:r>
    </w:p>
    <w:p w:rsidR="00730B4D" w:rsidRPr="00107006" w:rsidRDefault="00730B4D" w:rsidP="00730B4D">
      <w:pPr>
        <w:pStyle w:val="a0"/>
        <w:spacing w:beforeLines="0" w:afterLines="0"/>
        <w:ind w:left="357"/>
        <w:rPr>
          <w:rFonts w:ascii="宋体" w:eastAsia="宋体" w:hAnsi="宋体"/>
        </w:rPr>
      </w:pPr>
      <w:r w:rsidRPr="00107006">
        <w:rPr>
          <w:rFonts w:ascii="宋体" w:eastAsia="宋体" w:hAnsi="宋体"/>
        </w:rPr>
        <w:t>从事仓储保管</w:t>
      </w:r>
      <w:r w:rsidRPr="00107006">
        <w:rPr>
          <w:rFonts w:ascii="宋体" w:eastAsia="宋体" w:hAnsi="宋体" w:hint="eastAsia"/>
        </w:rPr>
        <w:t>或相关物流</w:t>
      </w:r>
      <w:r w:rsidRPr="00107006">
        <w:rPr>
          <w:rFonts w:ascii="宋体" w:eastAsia="宋体" w:hAnsi="宋体"/>
        </w:rPr>
        <w:t>业务3年（含）以上。</w:t>
      </w:r>
    </w:p>
    <w:p w:rsidR="00730B4D" w:rsidRPr="00107006" w:rsidRDefault="00730B4D" w:rsidP="00730B4D">
      <w:pPr>
        <w:pStyle w:val="a0"/>
        <w:spacing w:beforeLines="0" w:afterLines="0"/>
        <w:ind w:left="357"/>
        <w:rPr>
          <w:rFonts w:ascii="宋体" w:eastAsia="宋体" w:hAnsi="宋体"/>
        </w:rPr>
      </w:pPr>
      <w:r w:rsidRPr="00107006">
        <w:rPr>
          <w:rFonts w:ascii="宋体" w:eastAsia="宋体" w:hAnsi="宋体"/>
        </w:rPr>
        <w:t>注册资本和净资产规模达到委托方的要求。</w:t>
      </w:r>
    </w:p>
    <w:p w:rsidR="00730B4D" w:rsidRPr="00107006" w:rsidRDefault="00730B4D" w:rsidP="00730B4D">
      <w:pPr>
        <w:pStyle w:val="a0"/>
        <w:spacing w:beforeLines="0" w:afterLines="0"/>
        <w:ind w:left="357"/>
        <w:rPr>
          <w:rFonts w:ascii="宋体" w:eastAsia="宋体" w:hAnsi="宋体"/>
        </w:rPr>
      </w:pPr>
      <w:r w:rsidRPr="00107006">
        <w:rPr>
          <w:rFonts w:ascii="宋体" w:eastAsia="宋体" w:hAnsi="宋体"/>
        </w:rPr>
        <w:t>有良好的商业信誉，3年内无违法违规等行为。</w:t>
      </w:r>
    </w:p>
    <w:p w:rsidR="00730B4D" w:rsidRPr="00107006" w:rsidRDefault="00730B4D" w:rsidP="00730B4D">
      <w:pPr>
        <w:pStyle w:val="a0"/>
        <w:spacing w:beforeLines="0" w:afterLines="0"/>
        <w:ind w:left="357"/>
        <w:rPr>
          <w:rFonts w:ascii="宋体" w:eastAsia="宋体" w:hAnsi="宋体"/>
        </w:rPr>
      </w:pPr>
      <w:r w:rsidRPr="00107006">
        <w:rPr>
          <w:rFonts w:ascii="宋体" w:eastAsia="宋体" w:hAnsi="宋体"/>
        </w:rPr>
        <w:t>有完整的组织架构和相应的从业人员，并有明确的职责。</w:t>
      </w:r>
    </w:p>
    <w:p w:rsidR="00730B4D" w:rsidRPr="00107006" w:rsidRDefault="00730B4D" w:rsidP="00730B4D">
      <w:pPr>
        <w:pStyle w:val="a0"/>
        <w:spacing w:beforeLines="0" w:afterLines="0"/>
        <w:ind w:left="357"/>
        <w:rPr>
          <w:rFonts w:ascii="宋体" w:eastAsia="宋体" w:hAnsi="宋体"/>
        </w:rPr>
      </w:pPr>
      <w:r w:rsidRPr="00107006">
        <w:rPr>
          <w:rFonts w:ascii="宋体" w:eastAsia="宋体" w:hAnsi="宋体"/>
        </w:rPr>
        <w:t>有与业务需求相符的规章制度。包括质物进出库、保管</w:t>
      </w:r>
      <w:r w:rsidRPr="00107006">
        <w:rPr>
          <w:rFonts w:ascii="宋体" w:eastAsia="宋体" w:hAnsi="宋体" w:hint="eastAsia"/>
        </w:rPr>
        <w:t>、</w:t>
      </w:r>
      <w:r w:rsidRPr="00107006">
        <w:rPr>
          <w:rFonts w:ascii="宋体" w:eastAsia="宋体" w:hAnsi="宋体"/>
        </w:rPr>
        <w:t>监管、统计、档案管理、安全等。</w:t>
      </w:r>
    </w:p>
    <w:p w:rsidR="00730B4D" w:rsidRPr="00107006" w:rsidRDefault="00730B4D" w:rsidP="00730B4D">
      <w:pPr>
        <w:pStyle w:val="a0"/>
        <w:spacing w:beforeLines="0" w:afterLines="0"/>
        <w:ind w:left="357"/>
        <w:rPr>
          <w:rFonts w:ascii="宋体" w:eastAsia="宋体" w:hAnsi="宋体"/>
        </w:rPr>
      </w:pPr>
      <w:r w:rsidRPr="00107006">
        <w:rPr>
          <w:rFonts w:ascii="宋体" w:eastAsia="宋体" w:hAnsi="宋体"/>
        </w:rPr>
        <w:t>有与业务需求相符的流程管理。包括质物计量、</w:t>
      </w:r>
      <w:r w:rsidRPr="00107006">
        <w:rPr>
          <w:rFonts w:ascii="宋体" w:eastAsia="宋体" w:hAnsi="宋体" w:hint="eastAsia"/>
        </w:rPr>
        <w:t>外观质量查验、</w:t>
      </w:r>
      <w:r w:rsidRPr="00107006">
        <w:rPr>
          <w:rFonts w:ascii="宋体" w:eastAsia="宋体" w:hAnsi="宋体"/>
        </w:rPr>
        <w:t>质物交接、单证制作和流转、通讯联系、进出库、装卸搬运、盘点、业务检查、过程控制等。</w:t>
      </w:r>
    </w:p>
    <w:p w:rsidR="00730B4D" w:rsidRPr="00107006" w:rsidRDefault="00730B4D" w:rsidP="00730B4D">
      <w:pPr>
        <w:pStyle w:val="a0"/>
        <w:spacing w:beforeLines="0" w:afterLines="0"/>
        <w:ind w:left="357"/>
        <w:rPr>
          <w:rFonts w:ascii="宋体" w:eastAsia="宋体" w:hAnsi="宋体"/>
        </w:rPr>
      </w:pPr>
      <w:r w:rsidRPr="00107006">
        <w:rPr>
          <w:rFonts w:ascii="宋体" w:eastAsia="宋体" w:hAnsi="宋体"/>
        </w:rPr>
        <w:t>有产权明晰、实际控制数量足够的质物存储和装卸场所。</w:t>
      </w:r>
      <w:r w:rsidRPr="00107006">
        <w:rPr>
          <w:rFonts w:ascii="宋体" w:eastAsia="宋体" w:hAnsi="宋体" w:hint="eastAsia"/>
        </w:rPr>
        <w:t>在监管人自有库监管，监管人需要提供拥有核发所有权的材料。在出质人和第三方仓库，监管人需要取得监管地或监管库的合法使用权。</w:t>
      </w:r>
    </w:p>
    <w:p w:rsidR="00730B4D" w:rsidRPr="00107006" w:rsidRDefault="00730B4D" w:rsidP="00730B4D">
      <w:pPr>
        <w:pStyle w:val="a0"/>
        <w:spacing w:beforeLines="0" w:afterLines="0"/>
        <w:ind w:left="357" w:rightChars="-73" w:right="-153"/>
        <w:rPr>
          <w:rFonts w:ascii="宋体" w:eastAsia="宋体" w:hAnsi="宋体"/>
        </w:rPr>
      </w:pPr>
      <w:r w:rsidRPr="00107006">
        <w:rPr>
          <w:rFonts w:ascii="宋体" w:eastAsia="宋体" w:hAnsi="宋体"/>
        </w:rPr>
        <w:t>监管场所应安全可靠，具有防火、防水、防风、防雷、防盗功能；必要时装备视频探头。</w:t>
      </w:r>
    </w:p>
    <w:p w:rsidR="00730B4D" w:rsidRPr="00107006" w:rsidRDefault="00730B4D" w:rsidP="00730B4D">
      <w:pPr>
        <w:pStyle w:val="a0"/>
        <w:spacing w:beforeLines="0" w:afterLines="0"/>
        <w:ind w:left="357"/>
        <w:rPr>
          <w:rFonts w:ascii="宋体" w:eastAsia="宋体" w:hAnsi="宋体"/>
        </w:rPr>
      </w:pPr>
      <w:r w:rsidRPr="00107006">
        <w:rPr>
          <w:rFonts w:ascii="宋体" w:eastAsia="宋体" w:hAnsi="宋体" w:hint="eastAsia"/>
        </w:rPr>
        <w:t>有</w:t>
      </w:r>
      <w:r w:rsidRPr="00107006">
        <w:rPr>
          <w:rFonts w:ascii="宋体" w:eastAsia="宋体" w:hAnsi="宋体"/>
        </w:rPr>
        <w:t>符合国家要求的计量工具</w:t>
      </w:r>
      <w:r w:rsidRPr="00107006">
        <w:rPr>
          <w:rFonts w:ascii="宋体" w:eastAsia="宋体" w:hAnsi="宋体" w:hint="eastAsia"/>
        </w:rPr>
        <w:t>和</w:t>
      </w:r>
      <w:r w:rsidRPr="00107006">
        <w:rPr>
          <w:rFonts w:ascii="宋体" w:eastAsia="宋体" w:hAnsi="宋体"/>
        </w:rPr>
        <w:t>计量方式。</w:t>
      </w:r>
    </w:p>
    <w:p w:rsidR="00730B4D" w:rsidRPr="00107006" w:rsidRDefault="00730B4D" w:rsidP="00730B4D">
      <w:pPr>
        <w:pStyle w:val="a0"/>
        <w:spacing w:beforeLines="0" w:afterLines="0"/>
        <w:ind w:left="357"/>
        <w:rPr>
          <w:rFonts w:ascii="宋体" w:eastAsia="宋体" w:hAnsi="宋体"/>
        </w:rPr>
      </w:pPr>
      <w:r w:rsidRPr="00107006">
        <w:rPr>
          <w:rFonts w:ascii="宋体" w:eastAsia="宋体" w:hAnsi="宋体"/>
        </w:rPr>
        <w:t>监管场所装卸搬运、包装、供暖、电力</w:t>
      </w:r>
      <w:r w:rsidRPr="00107006">
        <w:rPr>
          <w:rFonts w:ascii="宋体" w:eastAsia="宋体" w:hAnsi="宋体" w:hint="eastAsia"/>
        </w:rPr>
        <w:t>、消防</w:t>
      </w:r>
      <w:r w:rsidRPr="00107006">
        <w:rPr>
          <w:rFonts w:ascii="宋体" w:eastAsia="宋体" w:hAnsi="宋体"/>
        </w:rPr>
        <w:t>等设备性能良好和运转</w:t>
      </w:r>
      <w:r w:rsidRPr="00107006">
        <w:rPr>
          <w:rFonts w:ascii="宋体" w:eastAsia="宋体" w:hAnsi="宋体" w:hint="eastAsia"/>
        </w:rPr>
        <w:t>正常</w:t>
      </w:r>
      <w:r w:rsidRPr="00107006">
        <w:rPr>
          <w:rFonts w:ascii="宋体" w:eastAsia="宋体" w:hAnsi="宋体"/>
        </w:rPr>
        <w:t>。</w:t>
      </w:r>
    </w:p>
    <w:p w:rsidR="00730B4D" w:rsidRPr="00107006" w:rsidRDefault="00730B4D" w:rsidP="00730B4D">
      <w:pPr>
        <w:pStyle w:val="a0"/>
        <w:spacing w:beforeLines="0" w:afterLines="0"/>
        <w:ind w:left="357"/>
        <w:rPr>
          <w:rFonts w:ascii="宋体" w:eastAsia="宋体" w:hAnsi="宋体"/>
        </w:rPr>
      </w:pPr>
      <w:r w:rsidRPr="00107006">
        <w:rPr>
          <w:rFonts w:ascii="宋体" w:eastAsia="宋体" w:hAnsi="宋体"/>
        </w:rPr>
        <w:t>监管人员</w:t>
      </w:r>
      <w:r w:rsidRPr="00107006">
        <w:rPr>
          <w:rFonts w:ascii="宋体" w:eastAsia="宋体" w:hAnsi="宋体" w:hint="eastAsia"/>
        </w:rPr>
        <w:t>应有</w:t>
      </w:r>
      <w:r w:rsidRPr="00107006">
        <w:rPr>
          <w:rFonts w:ascii="宋体" w:eastAsia="宋体" w:hAnsi="宋体"/>
        </w:rPr>
        <w:t>独立的办公场所和</w:t>
      </w:r>
      <w:r w:rsidRPr="00107006">
        <w:rPr>
          <w:rFonts w:ascii="宋体" w:eastAsia="宋体" w:hAnsi="宋体" w:hint="eastAsia"/>
        </w:rPr>
        <w:t>配备</w:t>
      </w:r>
      <w:r w:rsidRPr="00107006">
        <w:rPr>
          <w:rFonts w:ascii="宋体" w:eastAsia="宋体" w:hAnsi="宋体"/>
        </w:rPr>
        <w:t>通讯设施，包括电话、互联网、电子计算机、传真机等，并保证24小时畅通，故障率不超过10%。</w:t>
      </w:r>
    </w:p>
    <w:p w:rsidR="00730B4D" w:rsidRPr="00107006" w:rsidRDefault="00730B4D" w:rsidP="00730B4D">
      <w:pPr>
        <w:pStyle w:val="a0"/>
        <w:spacing w:beforeLines="0" w:afterLines="0"/>
        <w:ind w:left="357"/>
        <w:rPr>
          <w:rFonts w:ascii="宋体" w:eastAsia="宋体" w:hAnsi="宋体"/>
        </w:rPr>
      </w:pPr>
      <w:r w:rsidRPr="00107006">
        <w:rPr>
          <w:rFonts w:ascii="宋体" w:eastAsia="宋体" w:hAnsi="宋体"/>
        </w:rPr>
        <w:t>应配有计算机仓储管理系统，具备客户查询、追踪功能。</w:t>
      </w:r>
    </w:p>
    <w:p w:rsidR="00730B4D" w:rsidRPr="00107006" w:rsidRDefault="00730B4D" w:rsidP="00730B4D">
      <w:pPr>
        <w:pStyle w:val="a0"/>
        <w:spacing w:beforeLines="0" w:afterLines="0"/>
        <w:ind w:left="357"/>
        <w:rPr>
          <w:rFonts w:ascii="宋体" w:eastAsia="宋体" w:hAnsi="宋体"/>
        </w:rPr>
      </w:pPr>
      <w:r w:rsidRPr="00107006">
        <w:rPr>
          <w:rFonts w:ascii="宋体" w:eastAsia="宋体" w:hAnsi="宋体"/>
        </w:rPr>
        <w:t>在出质人或第三</w:t>
      </w:r>
      <w:proofErr w:type="gramStart"/>
      <w:r w:rsidRPr="00107006">
        <w:rPr>
          <w:rFonts w:ascii="宋体" w:eastAsia="宋体" w:hAnsi="宋体"/>
        </w:rPr>
        <w:t>方库实施</w:t>
      </w:r>
      <w:proofErr w:type="gramEnd"/>
      <w:r w:rsidRPr="00107006">
        <w:rPr>
          <w:rFonts w:ascii="宋体" w:eastAsia="宋体" w:hAnsi="宋体"/>
        </w:rPr>
        <w:t>监管的，当事人应按上述要求划分权利和责任。</w:t>
      </w:r>
    </w:p>
    <w:p w:rsidR="00730B4D" w:rsidRPr="00107006" w:rsidRDefault="00730B4D" w:rsidP="00730B4D">
      <w:pPr>
        <w:pStyle w:val="a0"/>
        <w:spacing w:beforeLines="0" w:afterLines="0"/>
        <w:ind w:left="357"/>
        <w:rPr>
          <w:rFonts w:ascii="宋体" w:eastAsia="宋体" w:hAnsi="宋体"/>
        </w:rPr>
      </w:pPr>
      <w:r w:rsidRPr="00107006">
        <w:rPr>
          <w:rFonts w:ascii="宋体" w:eastAsia="宋体" w:hAnsi="宋体"/>
        </w:rPr>
        <w:t>出质人、质权人、监管人三方协商一致的其他条件。</w:t>
      </w:r>
    </w:p>
    <w:p w:rsidR="00730B4D" w:rsidRPr="00107006" w:rsidRDefault="00730B4D" w:rsidP="00730B4D">
      <w:pPr>
        <w:pStyle w:val="a"/>
        <w:rPr>
          <w:rFonts w:ascii="宋体" w:eastAsia="宋体" w:hAnsi="宋体"/>
          <w:szCs w:val="21"/>
        </w:rPr>
      </w:pPr>
      <w:bookmarkStart w:id="1" w:name="_Toc340822819"/>
      <w:r w:rsidRPr="00107006">
        <w:rPr>
          <w:rFonts w:ascii="宋体" w:eastAsia="宋体" w:hAnsi="宋体"/>
          <w:szCs w:val="21"/>
        </w:rPr>
        <w:lastRenderedPageBreak/>
        <w:t>监管质量</w:t>
      </w:r>
      <w:bookmarkEnd w:id="1"/>
    </w:p>
    <w:p w:rsidR="00730B4D" w:rsidRPr="00107006" w:rsidRDefault="00730B4D" w:rsidP="00730B4D">
      <w:pPr>
        <w:pStyle w:val="a0"/>
        <w:spacing w:beforeLines="0" w:afterLines="0"/>
        <w:ind w:left="357"/>
        <w:rPr>
          <w:rFonts w:ascii="宋体" w:eastAsia="宋体" w:hAnsi="宋体"/>
        </w:rPr>
      </w:pPr>
      <w:r w:rsidRPr="00107006">
        <w:rPr>
          <w:rFonts w:ascii="宋体" w:eastAsia="宋体" w:hAnsi="宋体"/>
        </w:rPr>
        <w:t>遵循公平、公正、中立原则，对出质人、质权人负责。</w:t>
      </w:r>
    </w:p>
    <w:p w:rsidR="00730B4D" w:rsidRPr="00107006" w:rsidRDefault="00730B4D" w:rsidP="00730B4D">
      <w:pPr>
        <w:pStyle w:val="a0"/>
        <w:spacing w:beforeLines="0" w:afterLines="0"/>
        <w:ind w:left="357"/>
        <w:rPr>
          <w:rFonts w:ascii="宋体" w:eastAsia="宋体" w:hAnsi="宋体"/>
        </w:rPr>
      </w:pPr>
      <w:r w:rsidRPr="00107006">
        <w:rPr>
          <w:rFonts w:ascii="宋体" w:eastAsia="宋体" w:hAnsi="宋体"/>
        </w:rPr>
        <w:t>严格执行监管协议和有效的补充协议。</w:t>
      </w:r>
    </w:p>
    <w:p w:rsidR="00730B4D" w:rsidRPr="00107006" w:rsidRDefault="00730B4D" w:rsidP="00730B4D">
      <w:pPr>
        <w:pStyle w:val="a0"/>
        <w:spacing w:beforeLines="0" w:afterLines="0"/>
        <w:ind w:left="357"/>
        <w:rPr>
          <w:rFonts w:ascii="宋体" w:eastAsia="宋体" w:hAnsi="宋体"/>
        </w:rPr>
      </w:pPr>
      <w:r w:rsidRPr="00107006">
        <w:rPr>
          <w:rFonts w:ascii="宋体" w:eastAsia="宋体" w:hAnsi="宋体"/>
        </w:rPr>
        <w:t>库场内单独设立监管区域，质物单独存放监管区。</w:t>
      </w:r>
    </w:p>
    <w:p w:rsidR="00730B4D" w:rsidRPr="00107006" w:rsidRDefault="00730B4D" w:rsidP="00730B4D">
      <w:pPr>
        <w:pStyle w:val="a0"/>
        <w:spacing w:beforeLines="0" w:afterLines="0"/>
        <w:ind w:left="357"/>
        <w:rPr>
          <w:rFonts w:ascii="宋体" w:eastAsia="宋体" w:hAnsi="宋体"/>
        </w:rPr>
      </w:pPr>
      <w:r w:rsidRPr="00107006">
        <w:rPr>
          <w:rFonts w:ascii="宋体" w:eastAsia="宋体" w:hAnsi="宋体"/>
        </w:rPr>
        <w:t>设立质物标识，并在明显位置安放。</w:t>
      </w:r>
    </w:p>
    <w:p w:rsidR="00730B4D" w:rsidRPr="00107006" w:rsidRDefault="00730B4D" w:rsidP="00730B4D">
      <w:pPr>
        <w:pStyle w:val="a0"/>
        <w:spacing w:beforeLines="0" w:afterLines="0"/>
        <w:ind w:left="357"/>
        <w:rPr>
          <w:rFonts w:ascii="宋体" w:eastAsia="宋体" w:hAnsi="宋体"/>
        </w:rPr>
      </w:pPr>
      <w:r w:rsidRPr="00107006">
        <w:rPr>
          <w:rFonts w:ascii="宋体" w:eastAsia="宋体" w:hAnsi="宋体"/>
        </w:rPr>
        <w:t>保证质物安全、存储、堆码、苫垫、灌装等过程符合质物特性。</w:t>
      </w:r>
    </w:p>
    <w:p w:rsidR="00730B4D" w:rsidRPr="00107006" w:rsidRDefault="00730B4D" w:rsidP="00730B4D">
      <w:pPr>
        <w:pStyle w:val="a0"/>
        <w:spacing w:beforeLines="0" w:afterLines="0"/>
        <w:ind w:left="357"/>
        <w:rPr>
          <w:rFonts w:ascii="宋体" w:eastAsia="宋体" w:hAnsi="宋体"/>
        </w:rPr>
      </w:pPr>
      <w:r w:rsidRPr="00107006">
        <w:rPr>
          <w:rFonts w:ascii="宋体" w:eastAsia="宋体" w:hAnsi="宋体"/>
        </w:rPr>
        <w:t>进出库单证齐全、准确。价格通知单、提货单、解押通知单、质物清单填写准确，保管完好。</w:t>
      </w:r>
    </w:p>
    <w:p w:rsidR="00730B4D" w:rsidRPr="00107006" w:rsidRDefault="00730B4D" w:rsidP="00730B4D">
      <w:pPr>
        <w:pStyle w:val="a0"/>
        <w:spacing w:beforeLines="0" w:afterLines="0"/>
        <w:ind w:left="357"/>
        <w:rPr>
          <w:rFonts w:ascii="宋体" w:eastAsia="宋体" w:hAnsi="宋体"/>
        </w:rPr>
      </w:pPr>
      <w:r w:rsidRPr="00107006">
        <w:rPr>
          <w:rFonts w:ascii="宋体" w:eastAsia="宋体" w:hAnsi="宋体"/>
        </w:rPr>
        <w:t>准确计量质物，损耗率按照合同约定的标准执行。有法定检验部门出具的计量工具年度合格证书。</w:t>
      </w:r>
    </w:p>
    <w:p w:rsidR="00730B4D" w:rsidRPr="00107006" w:rsidRDefault="00730B4D" w:rsidP="00730B4D">
      <w:pPr>
        <w:pStyle w:val="a0"/>
        <w:spacing w:beforeLines="0" w:afterLines="0"/>
        <w:ind w:left="357"/>
        <w:rPr>
          <w:rFonts w:ascii="宋体" w:eastAsia="宋体" w:hAnsi="宋体"/>
        </w:rPr>
      </w:pPr>
      <w:r w:rsidRPr="00107006">
        <w:rPr>
          <w:rFonts w:ascii="宋体" w:eastAsia="宋体" w:hAnsi="宋体"/>
        </w:rPr>
        <w:t>有完善的仓储管理办法。</w:t>
      </w:r>
    </w:p>
    <w:p w:rsidR="00730B4D" w:rsidRPr="00107006" w:rsidRDefault="00730B4D" w:rsidP="00730B4D">
      <w:pPr>
        <w:pStyle w:val="a0"/>
        <w:spacing w:beforeLines="0" w:afterLines="0"/>
        <w:ind w:left="357"/>
        <w:rPr>
          <w:rFonts w:ascii="宋体" w:eastAsia="宋体" w:hAnsi="宋体"/>
        </w:rPr>
      </w:pPr>
      <w:r w:rsidRPr="00107006">
        <w:rPr>
          <w:rFonts w:ascii="宋体" w:eastAsia="宋体" w:hAnsi="宋体"/>
        </w:rPr>
        <w:t>质物的变更、置换等行为需得到质权人的书面授权。</w:t>
      </w:r>
    </w:p>
    <w:p w:rsidR="00730B4D" w:rsidRPr="00107006" w:rsidRDefault="00730B4D" w:rsidP="00730B4D">
      <w:pPr>
        <w:pStyle w:val="a"/>
        <w:rPr>
          <w:rFonts w:ascii="宋体" w:eastAsia="宋体" w:hAnsi="宋体"/>
          <w:szCs w:val="21"/>
        </w:rPr>
      </w:pPr>
      <w:bookmarkStart w:id="2" w:name="_Toc340822820"/>
      <w:r w:rsidRPr="00107006">
        <w:rPr>
          <w:rFonts w:ascii="宋体" w:eastAsia="宋体" w:hAnsi="宋体"/>
          <w:szCs w:val="21"/>
        </w:rPr>
        <w:t>质押监管企业不应有的行为</w:t>
      </w:r>
      <w:bookmarkEnd w:id="2"/>
    </w:p>
    <w:p w:rsidR="00730B4D" w:rsidRPr="00107006" w:rsidRDefault="00730B4D" w:rsidP="00730B4D">
      <w:pPr>
        <w:pStyle w:val="a0"/>
        <w:spacing w:beforeLines="0" w:afterLines="0"/>
        <w:ind w:left="357"/>
        <w:rPr>
          <w:rFonts w:ascii="宋体" w:eastAsia="宋体" w:hAnsi="宋体"/>
        </w:rPr>
      </w:pPr>
      <w:r w:rsidRPr="00107006">
        <w:rPr>
          <w:rFonts w:ascii="宋体" w:eastAsia="宋体" w:hAnsi="宋体"/>
        </w:rPr>
        <w:t>任何情况下不应开具虚假质物清单。</w:t>
      </w:r>
    </w:p>
    <w:p w:rsidR="00730B4D" w:rsidRPr="00107006" w:rsidRDefault="00730B4D" w:rsidP="00730B4D">
      <w:pPr>
        <w:pStyle w:val="a0"/>
        <w:spacing w:beforeLines="0" w:afterLines="0"/>
        <w:ind w:left="357"/>
        <w:rPr>
          <w:rFonts w:ascii="宋体" w:eastAsia="宋体" w:hAnsi="宋体"/>
        </w:rPr>
      </w:pPr>
      <w:r w:rsidRPr="00107006">
        <w:rPr>
          <w:rFonts w:ascii="宋体" w:eastAsia="宋体" w:hAnsi="宋体"/>
        </w:rPr>
        <w:t>不应与当事人中的任何一方恶意串通，损害其他当事人利益。</w:t>
      </w:r>
    </w:p>
    <w:p w:rsidR="00730B4D" w:rsidRPr="00107006" w:rsidRDefault="00730B4D" w:rsidP="00730B4D">
      <w:pPr>
        <w:pStyle w:val="a0"/>
        <w:spacing w:beforeLines="0" w:afterLines="0"/>
        <w:ind w:left="357"/>
        <w:rPr>
          <w:rFonts w:ascii="宋体" w:eastAsia="宋体" w:hAnsi="宋体"/>
        </w:rPr>
      </w:pPr>
      <w:r w:rsidRPr="00107006">
        <w:rPr>
          <w:rFonts w:ascii="宋体" w:eastAsia="宋体" w:hAnsi="宋体"/>
        </w:rPr>
        <w:t>不应私自转移、藏匿、出售质物。</w:t>
      </w:r>
    </w:p>
    <w:p w:rsidR="00730B4D" w:rsidRPr="00107006" w:rsidRDefault="00730B4D" w:rsidP="00730B4D">
      <w:pPr>
        <w:pStyle w:val="a0"/>
        <w:spacing w:beforeLines="0" w:afterLines="0"/>
        <w:ind w:left="357"/>
        <w:rPr>
          <w:rFonts w:ascii="宋体" w:eastAsia="宋体" w:hAnsi="宋体"/>
        </w:rPr>
      </w:pPr>
      <w:r w:rsidRPr="00107006">
        <w:rPr>
          <w:rFonts w:ascii="宋体" w:eastAsia="宋体" w:hAnsi="宋体"/>
        </w:rPr>
        <w:t>不应隐匿仓库及公司的重大事项变更，如或有负债、产权变更、负责人更换、诉讼案件等。</w:t>
      </w:r>
    </w:p>
    <w:p w:rsidR="00730B4D" w:rsidRPr="00107006" w:rsidRDefault="00730B4D" w:rsidP="00730B4D">
      <w:pPr>
        <w:pStyle w:val="a0"/>
        <w:spacing w:beforeLines="0" w:afterLines="0"/>
        <w:ind w:left="357"/>
        <w:rPr>
          <w:rFonts w:ascii="宋体" w:eastAsia="宋体" w:hAnsi="宋体"/>
        </w:rPr>
      </w:pPr>
      <w:r w:rsidRPr="00107006">
        <w:rPr>
          <w:rFonts w:ascii="宋体" w:eastAsia="宋体" w:hAnsi="宋体"/>
        </w:rPr>
        <w:t>不应挪用出质人借贷资金。</w:t>
      </w:r>
      <w:proofErr w:type="gramStart"/>
      <w:r w:rsidRPr="00107006">
        <w:rPr>
          <w:rFonts w:ascii="宋体" w:eastAsia="宋体" w:hAnsi="宋体" w:hint="eastAsia"/>
        </w:rPr>
        <w:t>不</w:t>
      </w:r>
      <w:proofErr w:type="gramEnd"/>
      <w:r w:rsidRPr="00107006">
        <w:rPr>
          <w:rFonts w:ascii="宋体" w:eastAsia="宋体" w:hAnsi="宋体" w:hint="eastAsia"/>
        </w:rPr>
        <w:t>应</w:t>
      </w:r>
      <w:r w:rsidRPr="00107006">
        <w:rPr>
          <w:rFonts w:ascii="宋体" w:eastAsia="宋体" w:hAnsi="宋体"/>
        </w:rPr>
        <w:t>从事或变相从事担保、放贷等活动。</w:t>
      </w:r>
    </w:p>
    <w:p w:rsidR="00730B4D" w:rsidRPr="00107006" w:rsidRDefault="00730B4D" w:rsidP="00730B4D">
      <w:pPr>
        <w:pStyle w:val="a0"/>
        <w:spacing w:beforeLines="0" w:afterLines="0"/>
        <w:ind w:left="357"/>
        <w:rPr>
          <w:rFonts w:ascii="宋体" w:eastAsia="宋体" w:hAnsi="宋体"/>
        </w:rPr>
      </w:pPr>
      <w:r w:rsidRPr="00107006">
        <w:rPr>
          <w:rFonts w:ascii="宋体" w:eastAsia="宋体" w:hAnsi="宋体"/>
        </w:rPr>
        <w:t>有上述行为（6.1</w:t>
      </w:r>
      <w:r w:rsidRPr="00107006">
        <w:rPr>
          <w:rFonts w:ascii="宋体" w:eastAsia="宋体" w:hAnsi="宋体" w:hint="eastAsia"/>
        </w:rPr>
        <w:t>~</w:t>
      </w:r>
      <w:r w:rsidRPr="00107006">
        <w:rPr>
          <w:rFonts w:ascii="宋体" w:eastAsia="宋体" w:hAnsi="宋体"/>
        </w:rPr>
        <w:t>6.5）</w:t>
      </w:r>
      <w:r w:rsidRPr="00107006">
        <w:rPr>
          <w:rFonts w:ascii="宋体" w:eastAsia="宋体" w:hAnsi="宋体" w:hint="eastAsia"/>
        </w:rPr>
        <w:t>中</w:t>
      </w:r>
      <w:r w:rsidRPr="00107006">
        <w:rPr>
          <w:rFonts w:ascii="宋体" w:eastAsia="宋体" w:hAnsi="宋体"/>
        </w:rPr>
        <w:t>的一种，即需要停止其质押监管企业资格，受损的一方可以向公安部门报案或提起诉讼。</w:t>
      </w:r>
    </w:p>
    <w:p w:rsidR="00730B4D" w:rsidRDefault="00730B4D" w:rsidP="00730B4D">
      <w:pPr>
        <w:pStyle w:val="a"/>
        <w:rPr>
          <w:rFonts w:ascii="宋体" w:eastAsia="宋体" w:hAnsi="宋体" w:hint="eastAsia"/>
          <w:szCs w:val="21"/>
        </w:rPr>
      </w:pPr>
      <w:bookmarkStart w:id="3" w:name="_Toc333846718"/>
      <w:bookmarkStart w:id="4" w:name="_Toc340822821"/>
      <w:r w:rsidRPr="00107006">
        <w:rPr>
          <w:rFonts w:ascii="宋体" w:eastAsia="宋体" w:hAnsi="宋体"/>
          <w:szCs w:val="21"/>
        </w:rPr>
        <w:t>质押监管企业</w:t>
      </w:r>
      <w:bookmarkEnd w:id="3"/>
      <w:bookmarkEnd w:id="4"/>
      <w:r w:rsidRPr="00107006">
        <w:rPr>
          <w:rFonts w:ascii="宋体" w:eastAsia="宋体" w:hAnsi="宋体"/>
          <w:szCs w:val="21"/>
        </w:rPr>
        <w:t>评估指标</w:t>
      </w:r>
    </w:p>
    <w:p w:rsidR="00730B4D" w:rsidRPr="00107006" w:rsidRDefault="00730B4D" w:rsidP="00730B4D">
      <w:pPr>
        <w:pStyle w:val="a0"/>
        <w:spacing w:beforeLines="0" w:afterLines="0"/>
        <w:ind w:left="357"/>
        <w:rPr>
          <w:rFonts w:ascii="宋体" w:eastAsia="宋体" w:hAnsi="宋体"/>
        </w:rPr>
      </w:pPr>
      <w:r w:rsidRPr="00107006">
        <w:rPr>
          <w:rFonts w:ascii="宋体" w:eastAsia="宋体" w:hAnsi="宋体"/>
        </w:rPr>
        <w:t xml:space="preserve">  评估原则</w:t>
      </w:r>
    </w:p>
    <w:p w:rsidR="00730B4D" w:rsidRPr="00107006" w:rsidRDefault="00730B4D" w:rsidP="00730B4D">
      <w:pPr>
        <w:pStyle w:val="a0"/>
        <w:numPr>
          <w:ilvl w:val="0"/>
          <w:numId w:val="0"/>
        </w:numPr>
        <w:spacing w:beforeLines="0" w:afterLines="0"/>
        <w:ind w:left="357"/>
        <w:rPr>
          <w:rFonts w:ascii="宋体" w:eastAsia="宋体" w:hAnsi="宋体"/>
        </w:rPr>
      </w:pPr>
      <w:smartTag w:uri="urn:schemas-microsoft-com:office:smarttags" w:element="chsdate">
        <w:smartTagPr>
          <w:attr w:name="IsROCDate" w:val="False"/>
          <w:attr w:name="IsLunarDate" w:val="False"/>
          <w:attr w:name="Day" w:val="30"/>
          <w:attr w:name="Month" w:val="12"/>
          <w:attr w:name="Year" w:val="1899"/>
        </w:smartTagPr>
        <w:r w:rsidRPr="0042215B">
          <w:rPr>
            <w:rFonts w:hAnsi="黑体"/>
          </w:rPr>
          <w:t>7.1.1</w:t>
        </w:r>
      </w:smartTag>
      <w:r w:rsidRPr="00107006">
        <w:rPr>
          <w:rFonts w:ascii="宋体" w:eastAsia="宋体" w:hAnsi="宋体"/>
        </w:rPr>
        <w:t xml:space="preserve">   能全面、准确反映企业能力和资信。</w:t>
      </w:r>
    </w:p>
    <w:p w:rsidR="00730B4D" w:rsidRPr="00107006" w:rsidRDefault="00730B4D" w:rsidP="00730B4D">
      <w:pPr>
        <w:pStyle w:val="a0"/>
        <w:numPr>
          <w:ilvl w:val="0"/>
          <w:numId w:val="0"/>
        </w:numPr>
        <w:spacing w:beforeLines="0" w:afterLines="0"/>
        <w:ind w:left="357"/>
        <w:rPr>
          <w:rFonts w:ascii="宋体" w:eastAsia="宋体" w:hAnsi="宋体"/>
        </w:rPr>
      </w:pPr>
      <w:r w:rsidRPr="0042215B">
        <w:rPr>
          <w:rFonts w:hAnsi="黑体"/>
        </w:rPr>
        <w:t>7.1.2</w:t>
      </w:r>
      <w:r w:rsidRPr="00107006">
        <w:rPr>
          <w:rFonts w:ascii="宋体" w:eastAsia="宋体" w:hAnsi="宋体"/>
        </w:rPr>
        <w:t xml:space="preserve">   评估采取打分累计的原则执行。</w:t>
      </w:r>
    </w:p>
    <w:p w:rsidR="00730B4D" w:rsidRPr="00107006" w:rsidRDefault="00730B4D" w:rsidP="00730B4D">
      <w:pPr>
        <w:pStyle w:val="a0"/>
        <w:numPr>
          <w:ilvl w:val="0"/>
          <w:numId w:val="0"/>
        </w:numPr>
        <w:spacing w:beforeLines="0" w:afterLines="0"/>
        <w:ind w:left="357"/>
        <w:rPr>
          <w:rFonts w:ascii="宋体" w:eastAsia="宋体" w:hAnsi="宋体"/>
        </w:rPr>
      </w:pPr>
      <w:smartTag w:uri="urn:schemas-microsoft-com:office:smarttags" w:element="chsdate">
        <w:smartTagPr>
          <w:attr w:name="Year" w:val="1899"/>
          <w:attr w:name="Month" w:val="12"/>
          <w:attr w:name="Day" w:val="30"/>
          <w:attr w:name="IsLunarDate" w:val="False"/>
          <w:attr w:name="IsROCDate" w:val="False"/>
        </w:smartTagPr>
        <w:r w:rsidRPr="0042215B">
          <w:rPr>
            <w:rFonts w:hAnsi="黑体"/>
          </w:rPr>
          <w:t>7.1.3</w:t>
        </w:r>
      </w:smartTag>
      <w:r w:rsidRPr="00107006">
        <w:rPr>
          <w:rFonts w:ascii="宋体" w:eastAsia="宋体" w:hAnsi="宋体"/>
        </w:rPr>
        <w:t xml:space="preserve">   质押监管企业的评估工作可由全国性行业组织设立评估机构具体实施。</w:t>
      </w:r>
    </w:p>
    <w:p w:rsidR="00730B4D" w:rsidRPr="00107006" w:rsidRDefault="00730B4D" w:rsidP="00730B4D">
      <w:pPr>
        <w:pStyle w:val="a0"/>
        <w:spacing w:beforeLines="0" w:afterLines="0"/>
        <w:ind w:left="357"/>
        <w:rPr>
          <w:rFonts w:ascii="宋体" w:eastAsia="宋体" w:hAnsi="宋体"/>
        </w:rPr>
      </w:pPr>
      <w:r w:rsidRPr="00107006">
        <w:rPr>
          <w:rFonts w:ascii="宋体" w:eastAsia="宋体" w:hAnsi="宋体"/>
        </w:rPr>
        <w:t xml:space="preserve">  评估指标</w:t>
      </w:r>
    </w:p>
    <w:p w:rsidR="00730B4D" w:rsidRPr="00107006" w:rsidRDefault="00730B4D" w:rsidP="00730B4D">
      <w:pPr>
        <w:pStyle w:val="a0"/>
        <w:numPr>
          <w:ilvl w:val="0"/>
          <w:numId w:val="0"/>
        </w:numPr>
        <w:spacing w:beforeLines="0" w:afterLines="0"/>
        <w:ind w:left="357"/>
        <w:rPr>
          <w:rFonts w:ascii="宋体" w:eastAsia="宋体" w:hAnsi="宋体"/>
        </w:rPr>
      </w:pPr>
      <w:r w:rsidRPr="00107006">
        <w:rPr>
          <w:rFonts w:ascii="宋体" w:eastAsia="宋体" w:hAnsi="宋体"/>
        </w:rPr>
        <w:t xml:space="preserve">质押监管企业评估指标表，见表1。     </w:t>
      </w:r>
    </w:p>
    <w:p w:rsidR="00730B4D" w:rsidRPr="00107006" w:rsidRDefault="00730B4D" w:rsidP="00730B4D">
      <w:pPr>
        <w:pStyle w:val="a0"/>
        <w:spacing w:beforeLines="0" w:afterLines="0"/>
        <w:ind w:left="357"/>
        <w:rPr>
          <w:rFonts w:ascii="宋体" w:eastAsia="宋体" w:hAnsi="宋体" w:hint="eastAsia"/>
        </w:rPr>
      </w:pPr>
      <w:r w:rsidRPr="00107006">
        <w:rPr>
          <w:rFonts w:ascii="宋体" w:eastAsia="宋体" w:hAnsi="宋体" w:hint="eastAsia"/>
        </w:rPr>
        <w:t xml:space="preserve">  评估结果的运用</w:t>
      </w:r>
    </w:p>
    <w:p w:rsidR="00730B4D" w:rsidRDefault="00730B4D" w:rsidP="00730B4D">
      <w:pPr>
        <w:pStyle w:val="a0"/>
        <w:numPr>
          <w:ilvl w:val="0"/>
          <w:numId w:val="0"/>
        </w:numPr>
        <w:spacing w:beforeLines="0" w:afterLines="0"/>
        <w:ind w:left="357" w:firstLineChars="200" w:firstLine="420"/>
        <w:rPr>
          <w:rFonts w:ascii="宋体" w:eastAsia="宋体" w:hAnsi="宋体" w:hint="eastAsia"/>
        </w:rPr>
      </w:pPr>
      <w:r w:rsidRPr="00107006">
        <w:rPr>
          <w:rFonts w:ascii="宋体" w:eastAsia="宋体" w:hAnsi="宋体"/>
        </w:rPr>
        <w:t>综合评估结果85</w:t>
      </w:r>
      <w:r w:rsidRPr="00107006">
        <w:rPr>
          <w:rFonts w:ascii="宋体" w:eastAsia="宋体" w:hAnsi="宋体" w:hint="eastAsia"/>
        </w:rPr>
        <w:t>分</w:t>
      </w:r>
      <w:r w:rsidRPr="00107006">
        <w:rPr>
          <w:rFonts w:ascii="宋体" w:eastAsia="宋体" w:hAnsi="宋体"/>
        </w:rPr>
        <w:t>（含）以上，属优秀监管企业；综合评估结果为60分（含）</w:t>
      </w:r>
      <w:r w:rsidRPr="00107006">
        <w:rPr>
          <w:rFonts w:ascii="宋体" w:eastAsia="宋体" w:hAnsi="宋体" w:hint="eastAsia"/>
        </w:rPr>
        <w:t>~</w:t>
      </w:r>
      <w:r w:rsidRPr="00107006">
        <w:rPr>
          <w:rFonts w:ascii="宋体" w:eastAsia="宋体" w:hAnsi="宋体"/>
        </w:rPr>
        <w:t>85分之间，属合格监管企业；综合评估结果为60</w:t>
      </w:r>
      <w:r w:rsidRPr="00107006">
        <w:rPr>
          <w:rFonts w:ascii="宋体" w:eastAsia="宋体" w:hAnsi="宋体" w:hint="eastAsia"/>
        </w:rPr>
        <w:t>分</w:t>
      </w:r>
      <w:r w:rsidRPr="00107006">
        <w:rPr>
          <w:rFonts w:ascii="宋体" w:eastAsia="宋体" w:hAnsi="宋体"/>
        </w:rPr>
        <w:t>以下的，属不合格监管企业，</w:t>
      </w:r>
      <w:proofErr w:type="gramStart"/>
      <w:r w:rsidRPr="00107006">
        <w:rPr>
          <w:rFonts w:ascii="宋体" w:eastAsia="宋体" w:hAnsi="宋体"/>
        </w:rPr>
        <w:t>不</w:t>
      </w:r>
      <w:proofErr w:type="gramEnd"/>
      <w:r w:rsidRPr="00107006">
        <w:rPr>
          <w:rFonts w:ascii="宋体" w:eastAsia="宋体" w:hAnsi="宋体"/>
        </w:rPr>
        <w:t>应从事监管业务。</w:t>
      </w:r>
    </w:p>
    <w:p w:rsidR="00730B4D" w:rsidRDefault="00730B4D" w:rsidP="00730B4D">
      <w:pPr>
        <w:pStyle w:val="a9"/>
        <w:rPr>
          <w:rFonts w:hint="eastAsia"/>
        </w:rPr>
      </w:pPr>
    </w:p>
    <w:p w:rsidR="00730B4D" w:rsidRDefault="00730B4D" w:rsidP="00730B4D">
      <w:pPr>
        <w:pStyle w:val="a9"/>
        <w:rPr>
          <w:rFonts w:hint="eastAsia"/>
        </w:rPr>
      </w:pPr>
    </w:p>
    <w:p w:rsidR="00730B4D" w:rsidRDefault="00730B4D" w:rsidP="00730B4D">
      <w:pPr>
        <w:pStyle w:val="a9"/>
        <w:rPr>
          <w:rFonts w:hint="eastAsia"/>
        </w:rPr>
      </w:pPr>
    </w:p>
    <w:p w:rsidR="00730B4D" w:rsidRDefault="00730B4D" w:rsidP="00730B4D">
      <w:pPr>
        <w:pStyle w:val="a9"/>
        <w:rPr>
          <w:rFonts w:hint="eastAsia"/>
        </w:rPr>
      </w:pPr>
    </w:p>
    <w:p w:rsidR="00730B4D" w:rsidRDefault="00730B4D" w:rsidP="00730B4D">
      <w:pPr>
        <w:pStyle w:val="a9"/>
        <w:rPr>
          <w:rFonts w:hint="eastAsia"/>
        </w:rPr>
      </w:pPr>
    </w:p>
    <w:p w:rsidR="00730B4D" w:rsidRDefault="00730B4D" w:rsidP="00730B4D">
      <w:pPr>
        <w:pStyle w:val="a9"/>
        <w:rPr>
          <w:rFonts w:hint="eastAsia"/>
        </w:rPr>
      </w:pPr>
    </w:p>
    <w:p w:rsidR="00730B4D" w:rsidRPr="0042215B" w:rsidRDefault="00730B4D" w:rsidP="00730B4D">
      <w:pPr>
        <w:pStyle w:val="a9"/>
      </w:pPr>
    </w:p>
    <w:p w:rsidR="00730B4D" w:rsidRPr="00107006" w:rsidRDefault="00730B4D" w:rsidP="00730B4D">
      <w:pPr>
        <w:jc w:val="center"/>
        <w:rPr>
          <w:rFonts w:ascii="宋体" w:hAnsi="宋体"/>
        </w:rPr>
      </w:pPr>
      <w:r w:rsidRPr="00107006">
        <w:rPr>
          <w:rFonts w:ascii="宋体" w:hAnsi="宋体"/>
        </w:rPr>
        <w:lastRenderedPageBreak/>
        <w:t>表 1  质押监管企业评估指标表</w:t>
      </w:r>
    </w:p>
    <w:tbl>
      <w:tblPr>
        <w:tblW w:w="8805" w:type="dxa"/>
        <w:jc w:val="center"/>
        <w:tblInd w:w="506" w:type="dxa"/>
        <w:tblLook w:val="0000"/>
      </w:tblPr>
      <w:tblGrid>
        <w:gridCol w:w="937"/>
        <w:gridCol w:w="947"/>
        <w:gridCol w:w="2286"/>
        <w:gridCol w:w="984"/>
        <w:gridCol w:w="6"/>
        <w:gridCol w:w="3645"/>
      </w:tblGrid>
      <w:tr w:rsidR="00730B4D" w:rsidRPr="00107006" w:rsidTr="002E0356">
        <w:trPr>
          <w:trHeight w:val="292"/>
          <w:jc w:val="center"/>
        </w:trPr>
        <w:tc>
          <w:tcPr>
            <w:tcW w:w="937" w:type="dxa"/>
            <w:tcBorders>
              <w:top w:val="single" w:sz="4" w:space="0" w:color="auto"/>
              <w:left w:val="single" w:sz="4" w:space="0" w:color="auto"/>
              <w:bottom w:val="single" w:sz="4" w:space="0" w:color="auto"/>
              <w:right w:val="single" w:sz="4" w:space="0" w:color="auto"/>
            </w:tcBorders>
            <w:noWrap/>
            <w:vAlign w:val="center"/>
          </w:tcPr>
          <w:p w:rsidR="00730B4D" w:rsidRPr="00107006" w:rsidRDefault="00730B4D" w:rsidP="002E0356">
            <w:pPr>
              <w:widowControl/>
              <w:jc w:val="center"/>
              <w:rPr>
                <w:rFonts w:ascii="宋体" w:hAnsi="宋体"/>
                <w:kern w:val="0"/>
                <w:sz w:val="18"/>
                <w:szCs w:val="18"/>
              </w:rPr>
            </w:pPr>
            <w:r w:rsidRPr="00107006">
              <w:rPr>
                <w:rFonts w:ascii="宋体" w:hAnsi="宋体"/>
                <w:kern w:val="0"/>
                <w:sz w:val="18"/>
                <w:szCs w:val="18"/>
              </w:rPr>
              <w:t>类别</w:t>
            </w:r>
          </w:p>
        </w:tc>
        <w:tc>
          <w:tcPr>
            <w:tcW w:w="947" w:type="dxa"/>
            <w:tcBorders>
              <w:top w:val="single" w:sz="4" w:space="0" w:color="auto"/>
              <w:left w:val="single" w:sz="4" w:space="0" w:color="auto"/>
              <w:bottom w:val="single" w:sz="4" w:space="0" w:color="auto"/>
              <w:right w:val="single" w:sz="4" w:space="0" w:color="auto"/>
            </w:tcBorders>
            <w:noWrap/>
            <w:vAlign w:val="center"/>
          </w:tcPr>
          <w:p w:rsidR="00730B4D" w:rsidRPr="00107006" w:rsidRDefault="00730B4D" w:rsidP="002E0356">
            <w:pPr>
              <w:widowControl/>
              <w:ind w:leftChars="-64" w:left="-134" w:rightChars="-85" w:right="-178"/>
              <w:jc w:val="center"/>
              <w:rPr>
                <w:rFonts w:ascii="宋体" w:hAnsi="宋体"/>
                <w:kern w:val="0"/>
                <w:sz w:val="18"/>
                <w:szCs w:val="18"/>
              </w:rPr>
            </w:pPr>
            <w:r w:rsidRPr="00107006">
              <w:rPr>
                <w:rFonts w:ascii="宋体" w:hAnsi="宋体"/>
                <w:kern w:val="0"/>
                <w:sz w:val="18"/>
                <w:szCs w:val="18"/>
              </w:rPr>
              <w:t>序号</w:t>
            </w:r>
          </w:p>
        </w:tc>
        <w:tc>
          <w:tcPr>
            <w:tcW w:w="2286" w:type="dxa"/>
            <w:tcBorders>
              <w:top w:val="single" w:sz="4" w:space="0" w:color="auto"/>
              <w:left w:val="single" w:sz="4" w:space="0" w:color="auto"/>
              <w:bottom w:val="single" w:sz="4" w:space="0" w:color="auto"/>
              <w:right w:val="single" w:sz="4" w:space="0" w:color="auto"/>
            </w:tcBorders>
            <w:noWrap/>
            <w:vAlign w:val="center"/>
          </w:tcPr>
          <w:p w:rsidR="00730B4D" w:rsidRPr="00107006" w:rsidRDefault="00730B4D" w:rsidP="002E0356">
            <w:pPr>
              <w:widowControl/>
              <w:jc w:val="center"/>
              <w:rPr>
                <w:rFonts w:ascii="宋体" w:hAnsi="宋体"/>
                <w:kern w:val="0"/>
                <w:sz w:val="18"/>
                <w:szCs w:val="18"/>
              </w:rPr>
            </w:pPr>
            <w:r w:rsidRPr="00107006">
              <w:rPr>
                <w:rFonts w:ascii="宋体" w:hAnsi="宋体"/>
                <w:kern w:val="0"/>
                <w:sz w:val="18"/>
                <w:szCs w:val="18"/>
              </w:rPr>
              <w:t>指标</w:t>
            </w:r>
          </w:p>
        </w:tc>
        <w:tc>
          <w:tcPr>
            <w:tcW w:w="984" w:type="dxa"/>
            <w:tcBorders>
              <w:top w:val="single" w:sz="4" w:space="0" w:color="auto"/>
              <w:left w:val="nil"/>
              <w:bottom w:val="single" w:sz="4" w:space="0" w:color="auto"/>
              <w:right w:val="single" w:sz="4" w:space="0" w:color="auto"/>
            </w:tcBorders>
            <w:noWrap/>
            <w:vAlign w:val="center"/>
          </w:tcPr>
          <w:p w:rsidR="00730B4D" w:rsidRPr="00107006" w:rsidRDefault="00730B4D" w:rsidP="002E0356">
            <w:pPr>
              <w:widowControl/>
              <w:jc w:val="center"/>
              <w:rPr>
                <w:rFonts w:ascii="宋体" w:hAnsi="宋体"/>
                <w:kern w:val="0"/>
                <w:sz w:val="18"/>
                <w:szCs w:val="18"/>
              </w:rPr>
            </w:pPr>
            <w:r w:rsidRPr="00107006">
              <w:rPr>
                <w:rFonts w:ascii="宋体" w:hAnsi="宋体"/>
                <w:kern w:val="0"/>
                <w:sz w:val="18"/>
                <w:szCs w:val="18"/>
              </w:rPr>
              <w:t>评估分数</w:t>
            </w:r>
          </w:p>
        </w:tc>
        <w:tc>
          <w:tcPr>
            <w:tcW w:w="3651" w:type="dxa"/>
            <w:gridSpan w:val="2"/>
            <w:tcBorders>
              <w:top w:val="single" w:sz="4" w:space="0" w:color="auto"/>
              <w:left w:val="single" w:sz="4" w:space="0" w:color="auto"/>
              <w:bottom w:val="single" w:sz="4" w:space="0" w:color="000000"/>
              <w:right w:val="single" w:sz="4" w:space="0" w:color="auto"/>
            </w:tcBorders>
            <w:noWrap/>
            <w:vAlign w:val="center"/>
          </w:tcPr>
          <w:p w:rsidR="00730B4D" w:rsidRPr="00107006" w:rsidRDefault="00730B4D" w:rsidP="002E0356">
            <w:pPr>
              <w:widowControl/>
              <w:jc w:val="center"/>
              <w:rPr>
                <w:rFonts w:ascii="宋体" w:hAnsi="宋体"/>
                <w:kern w:val="0"/>
                <w:sz w:val="18"/>
                <w:szCs w:val="18"/>
              </w:rPr>
            </w:pPr>
            <w:r w:rsidRPr="00107006">
              <w:rPr>
                <w:rFonts w:ascii="宋体" w:hAnsi="宋体"/>
                <w:kern w:val="0"/>
                <w:sz w:val="18"/>
                <w:szCs w:val="18"/>
              </w:rPr>
              <w:t>证明材料</w:t>
            </w:r>
          </w:p>
        </w:tc>
      </w:tr>
      <w:tr w:rsidR="00730B4D" w:rsidRPr="00107006" w:rsidTr="002E0356">
        <w:trPr>
          <w:trHeight w:val="855"/>
          <w:jc w:val="center"/>
        </w:trPr>
        <w:tc>
          <w:tcPr>
            <w:tcW w:w="937" w:type="dxa"/>
            <w:vMerge w:val="restart"/>
            <w:tcBorders>
              <w:top w:val="nil"/>
              <w:left w:val="single" w:sz="4" w:space="0" w:color="auto"/>
              <w:bottom w:val="single" w:sz="4" w:space="0" w:color="000000"/>
              <w:right w:val="single" w:sz="4" w:space="0" w:color="auto"/>
            </w:tcBorders>
            <w:noWrap/>
            <w:vAlign w:val="center"/>
          </w:tcPr>
          <w:p w:rsidR="00730B4D" w:rsidRPr="00107006" w:rsidRDefault="00730B4D" w:rsidP="002E0356">
            <w:pPr>
              <w:widowControl/>
              <w:jc w:val="center"/>
              <w:rPr>
                <w:rFonts w:ascii="宋体" w:hAnsi="宋体"/>
                <w:kern w:val="0"/>
                <w:sz w:val="18"/>
                <w:szCs w:val="18"/>
              </w:rPr>
            </w:pPr>
            <w:r w:rsidRPr="00107006">
              <w:rPr>
                <w:rFonts w:ascii="宋体" w:hAnsi="宋体"/>
                <w:kern w:val="0"/>
                <w:sz w:val="18"/>
                <w:szCs w:val="18"/>
              </w:rPr>
              <w:t>基本条件</w:t>
            </w:r>
          </w:p>
        </w:tc>
        <w:tc>
          <w:tcPr>
            <w:tcW w:w="947" w:type="dxa"/>
            <w:tcBorders>
              <w:top w:val="nil"/>
              <w:left w:val="nil"/>
              <w:bottom w:val="single" w:sz="4" w:space="0" w:color="auto"/>
              <w:right w:val="single" w:sz="4" w:space="0" w:color="auto"/>
            </w:tcBorders>
            <w:noWrap/>
            <w:vAlign w:val="center"/>
          </w:tcPr>
          <w:p w:rsidR="00730B4D" w:rsidRPr="00107006" w:rsidRDefault="00730B4D" w:rsidP="002E0356">
            <w:pPr>
              <w:widowControl/>
              <w:jc w:val="center"/>
              <w:rPr>
                <w:rFonts w:ascii="宋体" w:hAnsi="宋体"/>
                <w:kern w:val="0"/>
                <w:sz w:val="18"/>
                <w:szCs w:val="18"/>
              </w:rPr>
            </w:pPr>
            <w:r w:rsidRPr="00107006">
              <w:rPr>
                <w:rFonts w:ascii="宋体" w:hAnsi="宋体"/>
                <w:kern w:val="0"/>
                <w:sz w:val="18"/>
                <w:szCs w:val="18"/>
              </w:rPr>
              <w:t>1</w:t>
            </w:r>
          </w:p>
        </w:tc>
        <w:tc>
          <w:tcPr>
            <w:tcW w:w="2286" w:type="dxa"/>
            <w:tcBorders>
              <w:top w:val="nil"/>
              <w:left w:val="nil"/>
              <w:bottom w:val="single" w:sz="4" w:space="0" w:color="auto"/>
              <w:right w:val="single" w:sz="4" w:space="0" w:color="auto"/>
            </w:tcBorders>
            <w:vAlign w:val="center"/>
          </w:tcPr>
          <w:p w:rsidR="00730B4D" w:rsidRPr="00107006" w:rsidRDefault="00730B4D" w:rsidP="002E0356">
            <w:pPr>
              <w:widowControl/>
              <w:rPr>
                <w:rFonts w:ascii="宋体" w:hAnsi="宋体"/>
                <w:kern w:val="0"/>
                <w:sz w:val="18"/>
                <w:szCs w:val="18"/>
              </w:rPr>
            </w:pPr>
            <w:r w:rsidRPr="00107006">
              <w:rPr>
                <w:rFonts w:ascii="宋体" w:hAnsi="宋体"/>
                <w:kern w:val="0"/>
                <w:sz w:val="18"/>
                <w:szCs w:val="18"/>
              </w:rPr>
              <w:t>企业法人或企业法人担保的非法人企业（10分）</w:t>
            </w:r>
          </w:p>
        </w:tc>
        <w:tc>
          <w:tcPr>
            <w:tcW w:w="984" w:type="dxa"/>
            <w:tcBorders>
              <w:top w:val="single" w:sz="4" w:space="0" w:color="auto"/>
              <w:left w:val="nil"/>
              <w:bottom w:val="single" w:sz="4" w:space="0" w:color="auto"/>
              <w:right w:val="single" w:sz="4" w:space="0" w:color="auto"/>
            </w:tcBorders>
            <w:noWrap/>
            <w:vAlign w:val="center"/>
          </w:tcPr>
          <w:p w:rsidR="00730B4D" w:rsidRPr="00107006" w:rsidRDefault="00730B4D" w:rsidP="002E0356">
            <w:pPr>
              <w:widowControl/>
              <w:jc w:val="left"/>
              <w:rPr>
                <w:rFonts w:ascii="宋体" w:hAnsi="宋体"/>
                <w:kern w:val="0"/>
                <w:sz w:val="18"/>
                <w:szCs w:val="18"/>
              </w:rPr>
            </w:pPr>
          </w:p>
        </w:tc>
        <w:tc>
          <w:tcPr>
            <w:tcW w:w="3651" w:type="dxa"/>
            <w:gridSpan w:val="2"/>
            <w:tcBorders>
              <w:top w:val="nil"/>
              <w:left w:val="nil"/>
              <w:bottom w:val="single" w:sz="4" w:space="0" w:color="auto"/>
              <w:right w:val="single" w:sz="4" w:space="0" w:color="auto"/>
            </w:tcBorders>
            <w:vAlign w:val="center"/>
          </w:tcPr>
          <w:p w:rsidR="00730B4D" w:rsidRPr="00107006" w:rsidRDefault="00730B4D" w:rsidP="002E0356">
            <w:pPr>
              <w:widowControl/>
              <w:jc w:val="left"/>
              <w:rPr>
                <w:rFonts w:ascii="宋体" w:hAnsi="宋体"/>
                <w:kern w:val="0"/>
                <w:sz w:val="18"/>
                <w:szCs w:val="18"/>
              </w:rPr>
            </w:pPr>
            <w:r w:rsidRPr="00107006">
              <w:rPr>
                <w:rFonts w:ascii="宋体" w:hAnsi="宋体"/>
                <w:kern w:val="0"/>
                <w:sz w:val="18"/>
                <w:szCs w:val="18"/>
              </w:rPr>
              <w:t>1、企业营业执照；                                2、企业组织机构代码证；                          3、企业税务登记证。</w:t>
            </w:r>
          </w:p>
        </w:tc>
      </w:tr>
      <w:tr w:rsidR="00730B4D" w:rsidRPr="00107006" w:rsidTr="002E0356">
        <w:trPr>
          <w:trHeight w:val="1140"/>
          <w:jc w:val="center"/>
        </w:trPr>
        <w:tc>
          <w:tcPr>
            <w:tcW w:w="937" w:type="dxa"/>
            <w:vMerge/>
            <w:tcBorders>
              <w:top w:val="nil"/>
              <w:left w:val="single" w:sz="4" w:space="0" w:color="auto"/>
              <w:bottom w:val="single" w:sz="4" w:space="0" w:color="000000"/>
              <w:right w:val="single" w:sz="4" w:space="0" w:color="auto"/>
            </w:tcBorders>
            <w:vAlign w:val="center"/>
          </w:tcPr>
          <w:p w:rsidR="00730B4D" w:rsidRPr="00107006" w:rsidRDefault="00730B4D" w:rsidP="002E0356">
            <w:pPr>
              <w:widowControl/>
              <w:jc w:val="left"/>
              <w:rPr>
                <w:rFonts w:ascii="宋体" w:hAnsi="宋体"/>
                <w:kern w:val="0"/>
                <w:sz w:val="18"/>
                <w:szCs w:val="18"/>
              </w:rPr>
            </w:pPr>
          </w:p>
        </w:tc>
        <w:tc>
          <w:tcPr>
            <w:tcW w:w="947" w:type="dxa"/>
            <w:tcBorders>
              <w:top w:val="nil"/>
              <w:left w:val="nil"/>
              <w:bottom w:val="single" w:sz="4" w:space="0" w:color="auto"/>
              <w:right w:val="single" w:sz="4" w:space="0" w:color="auto"/>
            </w:tcBorders>
            <w:noWrap/>
            <w:vAlign w:val="center"/>
          </w:tcPr>
          <w:p w:rsidR="00730B4D" w:rsidRPr="00107006" w:rsidRDefault="00730B4D" w:rsidP="002E0356">
            <w:pPr>
              <w:widowControl/>
              <w:jc w:val="center"/>
              <w:rPr>
                <w:rFonts w:ascii="宋体" w:hAnsi="宋体"/>
                <w:kern w:val="0"/>
                <w:sz w:val="18"/>
                <w:szCs w:val="18"/>
              </w:rPr>
            </w:pPr>
            <w:r w:rsidRPr="00107006">
              <w:rPr>
                <w:rFonts w:ascii="宋体" w:hAnsi="宋体"/>
                <w:kern w:val="0"/>
                <w:sz w:val="18"/>
                <w:szCs w:val="18"/>
              </w:rPr>
              <w:t>2</w:t>
            </w:r>
          </w:p>
        </w:tc>
        <w:tc>
          <w:tcPr>
            <w:tcW w:w="2286" w:type="dxa"/>
            <w:tcBorders>
              <w:top w:val="nil"/>
              <w:left w:val="nil"/>
              <w:bottom w:val="single" w:sz="4" w:space="0" w:color="auto"/>
              <w:right w:val="single" w:sz="4" w:space="0" w:color="auto"/>
            </w:tcBorders>
            <w:vAlign w:val="center"/>
          </w:tcPr>
          <w:p w:rsidR="00730B4D" w:rsidRPr="00107006" w:rsidRDefault="00730B4D" w:rsidP="002E0356">
            <w:pPr>
              <w:widowControl/>
              <w:jc w:val="left"/>
              <w:rPr>
                <w:rFonts w:ascii="宋体" w:hAnsi="宋体"/>
                <w:kern w:val="0"/>
                <w:sz w:val="18"/>
                <w:szCs w:val="18"/>
              </w:rPr>
            </w:pPr>
            <w:r w:rsidRPr="00107006">
              <w:rPr>
                <w:rFonts w:ascii="宋体" w:hAnsi="宋体"/>
                <w:kern w:val="0"/>
                <w:sz w:val="18"/>
                <w:szCs w:val="18"/>
              </w:rPr>
              <w:t>财务资产情况：</w:t>
            </w:r>
            <w:r w:rsidRPr="00107006">
              <w:rPr>
                <w:rFonts w:ascii="宋体" w:hAnsi="宋体" w:hint="eastAsia"/>
                <w:kern w:val="0"/>
                <w:sz w:val="18"/>
                <w:szCs w:val="18"/>
              </w:rPr>
              <w:t>净资产</w:t>
            </w:r>
            <w:r w:rsidRPr="00107006">
              <w:rPr>
                <w:rFonts w:ascii="宋体" w:hAnsi="宋体"/>
                <w:kern w:val="0"/>
                <w:sz w:val="18"/>
                <w:szCs w:val="18"/>
              </w:rPr>
              <w:t>500万元以上（10分）</w:t>
            </w:r>
          </w:p>
        </w:tc>
        <w:tc>
          <w:tcPr>
            <w:tcW w:w="984" w:type="dxa"/>
            <w:tcBorders>
              <w:top w:val="nil"/>
              <w:left w:val="nil"/>
              <w:bottom w:val="single" w:sz="4" w:space="0" w:color="auto"/>
              <w:right w:val="single" w:sz="4" w:space="0" w:color="auto"/>
            </w:tcBorders>
            <w:noWrap/>
            <w:vAlign w:val="center"/>
          </w:tcPr>
          <w:p w:rsidR="00730B4D" w:rsidRPr="00107006" w:rsidRDefault="00730B4D" w:rsidP="002E0356">
            <w:pPr>
              <w:widowControl/>
              <w:jc w:val="left"/>
              <w:rPr>
                <w:rFonts w:ascii="宋体" w:hAnsi="宋体"/>
                <w:kern w:val="0"/>
                <w:sz w:val="18"/>
                <w:szCs w:val="18"/>
              </w:rPr>
            </w:pPr>
          </w:p>
        </w:tc>
        <w:tc>
          <w:tcPr>
            <w:tcW w:w="3651" w:type="dxa"/>
            <w:gridSpan w:val="2"/>
            <w:tcBorders>
              <w:top w:val="nil"/>
              <w:left w:val="nil"/>
              <w:bottom w:val="single" w:sz="4" w:space="0" w:color="auto"/>
              <w:right w:val="single" w:sz="4" w:space="0" w:color="auto"/>
            </w:tcBorders>
            <w:vAlign w:val="center"/>
          </w:tcPr>
          <w:p w:rsidR="00730B4D" w:rsidRPr="00107006" w:rsidRDefault="00730B4D" w:rsidP="002E0356">
            <w:pPr>
              <w:widowControl/>
              <w:jc w:val="left"/>
              <w:rPr>
                <w:rFonts w:ascii="宋体" w:hAnsi="宋体"/>
                <w:kern w:val="0"/>
                <w:sz w:val="18"/>
                <w:szCs w:val="18"/>
              </w:rPr>
            </w:pPr>
            <w:r w:rsidRPr="00107006">
              <w:rPr>
                <w:rFonts w:ascii="宋体" w:hAnsi="宋体"/>
                <w:kern w:val="0"/>
                <w:sz w:val="18"/>
                <w:szCs w:val="18"/>
              </w:rPr>
              <w:t>1、资产负债率；                                  2、利润分配表；                                  3、事务所出具的审计报告。</w:t>
            </w:r>
          </w:p>
        </w:tc>
      </w:tr>
      <w:tr w:rsidR="00730B4D" w:rsidRPr="00107006" w:rsidTr="002E0356">
        <w:trPr>
          <w:trHeight w:val="855"/>
          <w:jc w:val="center"/>
        </w:trPr>
        <w:tc>
          <w:tcPr>
            <w:tcW w:w="937" w:type="dxa"/>
            <w:vMerge/>
            <w:tcBorders>
              <w:top w:val="nil"/>
              <w:left w:val="single" w:sz="4" w:space="0" w:color="auto"/>
              <w:bottom w:val="single" w:sz="4" w:space="0" w:color="000000"/>
              <w:right w:val="single" w:sz="4" w:space="0" w:color="auto"/>
            </w:tcBorders>
            <w:vAlign w:val="center"/>
          </w:tcPr>
          <w:p w:rsidR="00730B4D" w:rsidRPr="00107006" w:rsidRDefault="00730B4D" w:rsidP="002E0356">
            <w:pPr>
              <w:widowControl/>
              <w:jc w:val="left"/>
              <w:rPr>
                <w:rFonts w:ascii="宋体" w:hAnsi="宋体"/>
                <w:kern w:val="0"/>
                <w:sz w:val="18"/>
                <w:szCs w:val="18"/>
              </w:rPr>
            </w:pPr>
          </w:p>
        </w:tc>
        <w:tc>
          <w:tcPr>
            <w:tcW w:w="947" w:type="dxa"/>
            <w:tcBorders>
              <w:top w:val="nil"/>
              <w:left w:val="nil"/>
              <w:bottom w:val="single" w:sz="4" w:space="0" w:color="auto"/>
              <w:right w:val="single" w:sz="4" w:space="0" w:color="auto"/>
            </w:tcBorders>
            <w:noWrap/>
            <w:vAlign w:val="center"/>
          </w:tcPr>
          <w:p w:rsidR="00730B4D" w:rsidRPr="00107006" w:rsidRDefault="00730B4D" w:rsidP="002E0356">
            <w:pPr>
              <w:widowControl/>
              <w:jc w:val="center"/>
              <w:rPr>
                <w:rFonts w:ascii="宋体" w:hAnsi="宋体"/>
                <w:kern w:val="0"/>
                <w:sz w:val="18"/>
                <w:szCs w:val="18"/>
              </w:rPr>
            </w:pPr>
            <w:r w:rsidRPr="00107006">
              <w:rPr>
                <w:rFonts w:ascii="宋体" w:hAnsi="宋体"/>
                <w:kern w:val="0"/>
                <w:sz w:val="18"/>
                <w:szCs w:val="18"/>
              </w:rPr>
              <w:t>3</w:t>
            </w:r>
          </w:p>
        </w:tc>
        <w:tc>
          <w:tcPr>
            <w:tcW w:w="2286" w:type="dxa"/>
            <w:tcBorders>
              <w:top w:val="nil"/>
              <w:left w:val="nil"/>
              <w:bottom w:val="single" w:sz="4" w:space="0" w:color="auto"/>
              <w:right w:val="single" w:sz="4" w:space="0" w:color="auto"/>
            </w:tcBorders>
            <w:vAlign w:val="center"/>
          </w:tcPr>
          <w:p w:rsidR="00730B4D" w:rsidRPr="00107006" w:rsidRDefault="00730B4D" w:rsidP="002E0356">
            <w:pPr>
              <w:widowControl/>
              <w:jc w:val="left"/>
              <w:rPr>
                <w:rFonts w:ascii="宋体" w:hAnsi="宋体"/>
                <w:kern w:val="0"/>
                <w:sz w:val="18"/>
                <w:szCs w:val="18"/>
              </w:rPr>
            </w:pPr>
            <w:r w:rsidRPr="00107006">
              <w:rPr>
                <w:rFonts w:ascii="宋体" w:hAnsi="宋体"/>
                <w:kern w:val="0"/>
                <w:sz w:val="18"/>
                <w:szCs w:val="18"/>
              </w:rPr>
              <w:t>监管库的所有权和使用权（10分）</w:t>
            </w:r>
          </w:p>
        </w:tc>
        <w:tc>
          <w:tcPr>
            <w:tcW w:w="984" w:type="dxa"/>
            <w:tcBorders>
              <w:top w:val="nil"/>
              <w:left w:val="nil"/>
              <w:bottom w:val="single" w:sz="4" w:space="0" w:color="auto"/>
              <w:right w:val="single" w:sz="4" w:space="0" w:color="auto"/>
            </w:tcBorders>
            <w:noWrap/>
            <w:vAlign w:val="center"/>
          </w:tcPr>
          <w:p w:rsidR="00730B4D" w:rsidRPr="00107006" w:rsidRDefault="00730B4D" w:rsidP="002E0356">
            <w:pPr>
              <w:widowControl/>
              <w:jc w:val="left"/>
              <w:rPr>
                <w:rFonts w:ascii="宋体" w:hAnsi="宋体"/>
                <w:kern w:val="0"/>
                <w:sz w:val="18"/>
                <w:szCs w:val="18"/>
              </w:rPr>
            </w:pPr>
          </w:p>
        </w:tc>
        <w:tc>
          <w:tcPr>
            <w:tcW w:w="3651" w:type="dxa"/>
            <w:gridSpan w:val="2"/>
            <w:tcBorders>
              <w:top w:val="nil"/>
              <w:left w:val="nil"/>
              <w:bottom w:val="single" w:sz="4" w:space="0" w:color="auto"/>
              <w:right w:val="single" w:sz="4" w:space="0" w:color="auto"/>
            </w:tcBorders>
            <w:vAlign w:val="center"/>
          </w:tcPr>
          <w:p w:rsidR="00730B4D" w:rsidRPr="00107006" w:rsidRDefault="00730B4D" w:rsidP="002E0356">
            <w:pPr>
              <w:widowControl/>
              <w:jc w:val="left"/>
              <w:rPr>
                <w:rFonts w:ascii="宋体" w:hAnsi="宋体"/>
                <w:kern w:val="0"/>
                <w:sz w:val="18"/>
                <w:szCs w:val="18"/>
              </w:rPr>
            </w:pPr>
            <w:r w:rsidRPr="00107006">
              <w:rPr>
                <w:rFonts w:ascii="宋体" w:hAnsi="宋体"/>
                <w:kern w:val="0"/>
                <w:sz w:val="18"/>
                <w:szCs w:val="18"/>
              </w:rPr>
              <w:t>1、监管人自有仓库的产权证；                      2、第三方仓库的产权证和租赁协议；                           3、出质人仓库的权属证明。</w:t>
            </w:r>
          </w:p>
        </w:tc>
      </w:tr>
      <w:tr w:rsidR="00730B4D" w:rsidRPr="00107006" w:rsidTr="002E0356">
        <w:trPr>
          <w:trHeight w:val="1141"/>
          <w:jc w:val="center"/>
        </w:trPr>
        <w:tc>
          <w:tcPr>
            <w:tcW w:w="937" w:type="dxa"/>
            <w:vMerge w:val="restart"/>
            <w:tcBorders>
              <w:top w:val="nil"/>
              <w:left w:val="single" w:sz="4" w:space="0" w:color="auto"/>
              <w:bottom w:val="single" w:sz="4" w:space="0" w:color="000000"/>
              <w:right w:val="single" w:sz="4" w:space="0" w:color="auto"/>
            </w:tcBorders>
            <w:noWrap/>
            <w:vAlign w:val="center"/>
          </w:tcPr>
          <w:p w:rsidR="00730B4D" w:rsidRPr="00107006" w:rsidRDefault="00730B4D" w:rsidP="002E0356">
            <w:pPr>
              <w:widowControl/>
              <w:jc w:val="center"/>
              <w:rPr>
                <w:rFonts w:ascii="宋体" w:hAnsi="宋体"/>
                <w:kern w:val="0"/>
                <w:sz w:val="18"/>
                <w:szCs w:val="18"/>
              </w:rPr>
            </w:pPr>
            <w:r w:rsidRPr="00107006">
              <w:rPr>
                <w:rFonts w:ascii="宋体" w:hAnsi="宋体"/>
                <w:kern w:val="0"/>
                <w:sz w:val="18"/>
                <w:szCs w:val="18"/>
              </w:rPr>
              <w:t>管理状况</w:t>
            </w:r>
          </w:p>
        </w:tc>
        <w:tc>
          <w:tcPr>
            <w:tcW w:w="947" w:type="dxa"/>
            <w:tcBorders>
              <w:top w:val="nil"/>
              <w:left w:val="nil"/>
              <w:bottom w:val="single" w:sz="4" w:space="0" w:color="auto"/>
              <w:right w:val="single" w:sz="4" w:space="0" w:color="auto"/>
            </w:tcBorders>
            <w:noWrap/>
            <w:vAlign w:val="center"/>
          </w:tcPr>
          <w:p w:rsidR="00730B4D" w:rsidRPr="00107006" w:rsidRDefault="00730B4D" w:rsidP="002E0356">
            <w:pPr>
              <w:widowControl/>
              <w:jc w:val="center"/>
              <w:rPr>
                <w:rFonts w:ascii="宋体" w:hAnsi="宋体"/>
                <w:kern w:val="0"/>
                <w:sz w:val="18"/>
                <w:szCs w:val="18"/>
              </w:rPr>
            </w:pPr>
            <w:r w:rsidRPr="00107006">
              <w:rPr>
                <w:rFonts w:ascii="宋体" w:hAnsi="宋体"/>
                <w:kern w:val="0"/>
                <w:sz w:val="18"/>
                <w:szCs w:val="18"/>
              </w:rPr>
              <w:t>4</w:t>
            </w:r>
          </w:p>
        </w:tc>
        <w:tc>
          <w:tcPr>
            <w:tcW w:w="2286" w:type="dxa"/>
            <w:tcBorders>
              <w:top w:val="nil"/>
              <w:left w:val="nil"/>
              <w:bottom w:val="single" w:sz="4" w:space="0" w:color="auto"/>
              <w:right w:val="single" w:sz="4" w:space="0" w:color="auto"/>
            </w:tcBorders>
            <w:vAlign w:val="center"/>
          </w:tcPr>
          <w:p w:rsidR="00730B4D" w:rsidRPr="00107006" w:rsidRDefault="00730B4D" w:rsidP="002E0356">
            <w:pPr>
              <w:widowControl/>
              <w:jc w:val="left"/>
              <w:rPr>
                <w:rFonts w:ascii="宋体" w:hAnsi="宋体"/>
                <w:kern w:val="0"/>
                <w:sz w:val="18"/>
                <w:szCs w:val="18"/>
              </w:rPr>
            </w:pPr>
            <w:r w:rsidRPr="00107006">
              <w:rPr>
                <w:rFonts w:ascii="宋体" w:hAnsi="宋体"/>
                <w:kern w:val="0"/>
                <w:sz w:val="18"/>
                <w:szCs w:val="18"/>
              </w:rPr>
              <w:t>监管场所安全情况（10分）</w:t>
            </w:r>
          </w:p>
        </w:tc>
        <w:tc>
          <w:tcPr>
            <w:tcW w:w="984" w:type="dxa"/>
            <w:tcBorders>
              <w:top w:val="nil"/>
              <w:left w:val="nil"/>
              <w:bottom w:val="single" w:sz="4" w:space="0" w:color="auto"/>
              <w:right w:val="single" w:sz="4" w:space="0" w:color="auto"/>
            </w:tcBorders>
            <w:noWrap/>
            <w:vAlign w:val="center"/>
          </w:tcPr>
          <w:p w:rsidR="00730B4D" w:rsidRPr="00107006" w:rsidRDefault="00730B4D" w:rsidP="002E0356">
            <w:pPr>
              <w:widowControl/>
              <w:jc w:val="left"/>
              <w:rPr>
                <w:rFonts w:ascii="宋体" w:hAnsi="宋体"/>
                <w:kern w:val="0"/>
                <w:sz w:val="18"/>
                <w:szCs w:val="18"/>
              </w:rPr>
            </w:pPr>
          </w:p>
        </w:tc>
        <w:tc>
          <w:tcPr>
            <w:tcW w:w="3651" w:type="dxa"/>
            <w:gridSpan w:val="2"/>
            <w:tcBorders>
              <w:top w:val="nil"/>
              <w:left w:val="nil"/>
              <w:bottom w:val="single" w:sz="4" w:space="0" w:color="auto"/>
              <w:right w:val="single" w:sz="4" w:space="0" w:color="auto"/>
            </w:tcBorders>
            <w:vAlign w:val="center"/>
          </w:tcPr>
          <w:p w:rsidR="00730B4D" w:rsidRPr="00107006" w:rsidRDefault="00730B4D" w:rsidP="002E0356">
            <w:pPr>
              <w:widowControl/>
              <w:jc w:val="left"/>
              <w:rPr>
                <w:rFonts w:ascii="宋体" w:hAnsi="宋体"/>
                <w:kern w:val="0"/>
                <w:sz w:val="18"/>
                <w:szCs w:val="18"/>
              </w:rPr>
            </w:pPr>
            <w:r w:rsidRPr="00107006">
              <w:rPr>
                <w:rFonts w:ascii="宋体" w:hAnsi="宋体"/>
                <w:kern w:val="0"/>
                <w:sz w:val="18"/>
                <w:szCs w:val="18"/>
              </w:rPr>
              <w:t>1、监管仓库、货场、容器满足需要；                           2、防火、防洪、防雷、防盗设施设备齐全；                            3、计量工具合格，并按照规定进行年检；                               4、作业设备齐全有效。</w:t>
            </w:r>
          </w:p>
        </w:tc>
      </w:tr>
      <w:tr w:rsidR="00730B4D" w:rsidRPr="00107006" w:rsidTr="002E0356">
        <w:trPr>
          <w:trHeight w:val="855"/>
          <w:jc w:val="center"/>
        </w:trPr>
        <w:tc>
          <w:tcPr>
            <w:tcW w:w="937" w:type="dxa"/>
            <w:vMerge/>
            <w:tcBorders>
              <w:top w:val="nil"/>
              <w:left w:val="single" w:sz="4" w:space="0" w:color="auto"/>
              <w:bottom w:val="single" w:sz="4" w:space="0" w:color="000000"/>
              <w:right w:val="single" w:sz="4" w:space="0" w:color="auto"/>
            </w:tcBorders>
            <w:vAlign w:val="center"/>
          </w:tcPr>
          <w:p w:rsidR="00730B4D" w:rsidRPr="00107006" w:rsidRDefault="00730B4D" w:rsidP="002E0356">
            <w:pPr>
              <w:widowControl/>
              <w:jc w:val="left"/>
              <w:rPr>
                <w:rFonts w:ascii="宋体" w:hAnsi="宋体"/>
                <w:kern w:val="0"/>
                <w:sz w:val="18"/>
                <w:szCs w:val="18"/>
              </w:rPr>
            </w:pPr>
          </w:p>
        </w:tc>
        <w:tc>
          <w:tcPr>
            <w:tcW w:w="947" w:type="dxa"/>
            <w:tcBorders>
              <w:top w:val="nil"/>
              <w:left w:val="nil"/>
              <w:bottom w:val="single" w:sz="4" w:space="0" w:color="auto"/>
              <w:right w:val="single" w:sz="4" w:space="0" w:color="auto"/>
            </w:tcBorders>
            <w:noWrap/>
            <w:vAlign w:val="center"/>
          </w:tcPr>
          <w:p w:rsidR="00730B4D" w:rsidRPr="00107006" w:rsidRDefault="00730B4D" w:rsidP="002E0356">
            <w:pPr>
              <w:widowControl/>
              <w:jc w:val="center"/>
              <w:rPr>
                <w:rFonts w:ascii="宋体" w:hAnsi="宋体"/>
                <w:kern w:val="0"/>
                <w:sz w:val="18"/>
                <w:szCs w:val="18"/>
              </w:rPr>
            </w:pPr>
            <w:r w:rsidRPr="00107006">
              <w:rPr>
                <w:rFonts w:ascii="宋体" w:hAnsi="宋体"/>
                <w:kern w:val="0"/>
                <w:sz w:val="18"/>
                <w:szCs w:val="18"/>
              </w:rPr>
              <w:t>5</w:t>
            </w:r>
          </w:p>
        </w:tc>
        <w:tc>
          <w:tcPr>
            <w:tcW w:w="2286" w:type="dxa"/>
            <w:tcBorders>
              <w:top w:val="nil"/>
              <w:left w:val="nil"/>
              <w:bottom w:val="single" w:sz="4" w:space="0" w:color="auto"/>
              <w:right w:val="single" w:sz="4" w:space="0" w:color="auto"/>
            </w:tcBorders>
            <w:noWrap/>
            <w:vAlign w:val="center"/>
          </w:tcPr>
          <w:p w:rsidR="00730B4D" w:rsidRPr="00107006" w:rsidRDefault="00730B4D" w:rsidP="002E0356">
            <w:pPr>
              <w:widowControl/>
              <w:rPr>
                <w:rFonts w:ascii="宋体" w:hAnsi="宋体"/>
                <w:kern w:val="0"/>
                <w:sz w:val="18"/>
                <w:szCs w:val="18"/>
              </w:rPr>
            </w:pPr>
            <w:r w:rsidRPr="00107006">
              <w:rPr>
                <w:rFonts w:ascii="宋体" w:hAnsi="宋体"/>
                <w:kern w:val="0"/>
                <w:sz w:val="18"/>
                <w:szCs w:val="18"/>
              </w:rPr>
              <w:t>监管部门和人员（10分）</w:t>
            </w:r>
          </w:p>
        </w:tc>
        <w:tc>
          <w:tcPr>
            <w:tcW w:w="984" w:type="dxa"/>
            <w:tcBorders>
              <w:top w:val="nil"/>
              <w:left w:val="nil"/>
              <w:bottom w:val="single" w:sz="4" w:space="0" w:color="auto"/>
              <w:right w:val="single" w:sz="4" w:space="0" w:color="auto"/>
            </w:tcBorders>
            <w:noWrap/>
            <w:vAlign w:val="center"/>
          </w:tcPr>
          <w:p w:rsidR="00730B4D" w:rsidRPr="00107006" w:rsidRDefault="00730B4D" w:rsidP="002E0356">
            <w:pPr>
              <w:widowControl/>
              <w:jc w:val="left"/>
              <w:rPr>
                <w:rFonts w:ascii="宋体" w:hAnsi="宋体"/>
                <w:kern w:val="0"/>
                <w:sz w:val="18"/>
                <w:szCs w:val="18"/>
              </w:rPr>
            </w:pPr>
          </w:p>
        </w:tc>
        <w:tc>
          <w:tcPr>
            <w:tcW w:w="3651" w:type="dxa"/>
            <w:gridSpan w:val="2"/>
            <w:tcBorders>
              <w:top w:val="nil"/>
              <w:left w:val="nil"/>
              <w:bottom w:val="single" w:sz="4" w:space="0" w:color="auto"/>
              <w:right w:val="single" w:sz="4" w:space="0" w:color="auto"/>
            </w:tcBorders>
            <w:vAlign w:val="center"/>
          </w:tcPr>
          <w:p w:rsidR="00730B4D" w:rsidRPr="00107006" w:rsidRDefault="00730B4D" w:rsidP="002E0356">
            <w:pPr>
              <w:widowControl/>
              <w:jc w:val="left"/>
              <w:rPr>
                <w:rFonts w:ascii="宋体" w:hAnsi="宋体"/>
                <w:kern w:val="0"/>
                <w:sz w:val="18"/>
                <w:szCs w:val="18"/>
              </w:rPr>
            </w:pPr>
            <w:r w:rsidRPr="00107006">
              <w:rPr>
                <w:rFonts w:ascii="宋体" w:hAnsi="宋体"/>
                <w:kern w:val="0"/>
                <w:sz w:val="18"/>
                <w:szCs w:val="18"/>
              </w:rPr>
              <w:t>1、监管部门设立的文件；                          2、监管人员职务及任职文件；                      3、培训证明（专业）。</w:t>
            </w:r>
          </w:p>
        </w:tc>
      </w:tr>
      <w:tr w:rsidR="00730B4D" w:rsidRPr="00107006" w:rsidTr="002E0356">
        <w:trPr>
          <w:trHeight w:val="2280"/>
          <w:jc w:val="center"/>
        </w:trPr>
        <w:tc>
          <w:tcPr>
            <w:tcW w:w="937" w:type="dxa"/>
            <w:vMerge/>
            <w:tcBorders>
              <w:top w:val="nil"/>
              <w:left w:val="single" w:sz="4" w:space="0" w:color="auto"/>
              <w:bottom w:val="single" w:sz="4" w:space="0" w:color="auto"/>
              <w:right w:val="single" w:sz="4" w:space="0" w:color="auto"/>
            </w:tcBorders>
            <w:vAlign w:val="center"/>
          </w:tcPr>
          <w:p w:rsidR="00730B4D" w:rsidRPr="00107006" w:rsidRDefault="00730B4D" w:rsidP="002E0356">
            <w:pPr>
              <w:widowControl/>
              <w:jc w:val="left"/>
              <w:rPr>
                <w:rFonts w:ascii="宋体" w:hAnsi="宋体"/>
                <w:kern w:val="0"/>
                <w:sz w:val="18"/>
                <w:szCs w:val="18"/>
              </w:rPr>
            </w:pPr>
          </w:p>
        </w:tc>
        <w:tc>
          <w:tcPr>
            <w:tcW w:w="947" w:type="dxa"/>
            <w:tcBorders>
              <w:top w:val="nil"/>
              <w:left w:val="nil"/>
              <w:bottom w:val="single" w:sz="4" w:space="0" w:color="auto"/>
              <w:right w:val="single" w:sz="4" w:space="0" w:color="auto"/>
            </w:tcBorders>
            <w:noWrap/>
            <w:vAlign w:val="center"/>
          </w:tcPr>
          <w:p w:rsidR="00730B4D" w:rsidRPr="00107006" w:rsidRDefault="00730B4D" w:rsidP="002E0356">
            <w:pPr>
              <w:widowControl/>
              <w:jc w:val="center"/>
              <w:rPr>
                <w:rFonts w:ascii="宋体" w:hAnsi="宋体"/>
                <w:kern w:val="0"/>
                <w:sz w:val="18"/>
                <w:szCs w:val="18"/>
              </w:rPr>
            </w:pPr>
            <w:r w:rsidRPr="00107006">
              <w:rPr>
                <w:rFonts w:ascii="宋体" w:hAnsi="宋体"/>
                <w:kern w:val="0"/>
                <w:sz w:val="18"/>
                <w:szCs w:val="18"/>
              </w:rPr>
              <w:t>6</w:t>
            </w:r>
          </w:p>
        </w:tc>
        <w:tc>
          <w:tcPr>
            <w:tcW w:w="2286" w:type="dxa"/>
            <w:tcBorders>
              <w:top w:val="nil"/>
              <w:left w:val="nil"/>
              <w:bottom w:val="single" w:sz="4" w:space="0" w:color="auto"/>
              <w:right w:val="single" w:sz="4" w:space="0" w:color="auto"/>
            </w:tcBorders>
            <w:noWrap/>
            <w:vAlign w:val="center"/>
          </w:tcPr>
          <w:p w:rsidR="00730B4D" w:rsidRPr="00107006" w:rsidRDefault="00730B4D" w:rsidP="002E0356">
            <w:pPr>
              <w:widowControl/>
              <w:rPr>
                <w:rFonts w:ascii="宋体" w:hAnsi="宋体"/>
                <w:kern w:val="0"/>
                <w:sz w:val="18"/>
                <w:szCs w:val="18"/>
              </w:rPr>
            </w:pPr>
            <w:r w:rsidRPr="00107006">
              <w:rPr>
                <w:rFonts w:ascii="宋体" w:hAnsi="宋体"/>
                <w:kern w:val="0"/>
                <w:sz w:val="18"/>
                <w:szCs w:val="18"/>
              </w:rPr>
              <w:t>制度（10分）</w:t>
            </w:r>
          </w:p>
        </w:tc>
        <w:tc>
          <w:tcPr>
            <w:tcW w:w="984" w:type="dxa"/>
            <w:tcBorders>
              <w:top w:val="nil"/>
              <w:left w:val="nil"/>
              <w:bottom w:val="single" w:sz="4" w:space="0" w:color="auto"/>
              <w:right w:val="single" w:sz="4" w:space="0" w:color="auto"/>
            </w:tcBorders>
            <w:noWrap/>
            <w:vAlign w:val="center"/>
          </w:tcPr>
          <w:p w:rsidR="00730B4D" w:rsidRPr="00107006" w:rsidRDefault="00730B4D" w:rsidP="002E0356">
            <w:pPr>
              <w:widowControl/>
              <w:jc w:val="left"/>
              <w:rPr>
                <w:rFonts w:ascii="宋体" w:hAnsi="宋体"/>
                <w:kern w:val="0"/>
                <w:sz w:val="18"/>
                <w:szCs w:val="18"/>
              </w:rPr>
            </w:pPr>
          </w:p>
        </w:tc>
        <w:tc>
          <w:tcPr>
            <w:tcW w:w="3651" w:type="dxa"/>
            <w:gridSpan w:val="2"/>
            <w:tcBorders>
              <w:top w:val="nil"/>
              <w:left w:val="nil"/>
              <w:bottom w:val="single" w:sz="4" w:space="0" w:color="auto"/>
              <w:right w:val="single" w:sz="4" w:space="0" w:color="auto"/>
            </w:tcBorders>
            <w:vAlign w:val="center"/>
          </w:tcPr>
          <w:p w:rsidR="00730B4D" w:rsidRPr="00107006" w:rsidRDefault="00730B4D" w:rsidP="002E0356">
            <w:pPr>
              <w:widowControl/>
              <w:jc w:val="left"/>
              <w:rPr>
                <w:rFonts w:ascii="宋体" w:hAnsi="宋体"/>
                <w:kern w:val="0"/>
                <w:sz w:val="18"/>
                <w:szCs w:val="18"/>
              </w:rPr>
            </w:pPr>
            <w:r w:rsidRPr="00107006">
              <w:rPr>
                <w:rFonts w:ascii="宋体" w:hAnsi="宋体"/>
                <w:kern w:val="0"/>
                <w:sz w:val="18"/>
                <w:szCs w:val="18"/>
              </w:rPr>
              <w:t xml:space="preserve">1、出入库制度；                                  2、监管制度；                                    3、监管业务流程；                                4、单证管理；                                    5、安全制度；                                    6、巡查制度；                                    7、合同管理制度；                                8、仓储管理办法。  </w:t>
            </w:r>
          </w:p>
        </w:tc>
      </w:tr>
      <w:tr w:rsidR="00730B4D" w:rsidRPr="00107006" w:rsidTr="002E0356">
        <w:trPr>
          <w:trHeight w:val="2850"/>
          <w:jc w:val="center"/>
        </w:trPr>
        <w:tc>
          <w:tcPr>
            <w:tcW w:w="937" w:type="dxa"/>
            <w:vMerge/>
            <w:tcBorders>
              <w:top w:val="single" w:sz="4" w:space="0" w:color="auto"/>
              <w:left w:val="single" w:sz="4" w:space="0" w:color="auto"/>
              <w:bottom w:val="single" w:sz="4" w:space="0" w:color="auto"/>
              <w:right w:val="single" w:sz="4" w:space="0" w:color="auto"/>
            </w:tcBorders>
            <w:vAlign w:val="center"/>
          </w:tcPr>
          <w:p w:rsidR="00730B4D" w:rsidRPr="00107006" w:rsidRDefault="00730B4D" w:rsidP="002E0356">
            <w:pPr>
              <w:widowControl/>
              <w:jc w:val="left"/>
              <w:rPr>
                <w:rFonts w:ascii="宋体" w:hAnsi="宋体"/>
                <w:kern w:val="0"/>
                <w:sz w:val="18"/>
                <w:szCs w:val="18"/>
              </w:rPr>
            </w:pPr>
          </w:p>
        </w:tc>
        <w:tc>
          <w:tcPr>
            <w:tcW w:w="947" w:type="dxa"/>
            <w:tcBorders>
              <w:top w:val="single" w:sz="4" w:space="0" w:color="auto"/>
              <w:left w:val="nil"/>
              <w:bottom w:val="single" w:sz="4" w:space="0" w:color="auto"/>
              <w:right w:val="single" w:sz="4" w:space="0" w:color="auto"/>
            </w:tcBorders>
            <w:noWrap/>
            <w:vAlign w:val="center"/>
          </w:tcPr>
          <w:p w:rsidR="00730B4D" w:rsidRPr="00107006" w:rsidRDefault="00730B4D" w:rsidP="002E0356">
            <w:pPr>
              <w:widowControl/>
              <w:jc w:val="center"/>
              <w:rPr>
                <w:rFonts w:ascii="宋体" w:hAnsi="宋体"/>
                <w:kern w:val="0"/>
                <w:sz w:val="18"/>
                <w:szCs w:val="18"/>
              </w:rPr>
            </w:pPr>
            <w:r w:rsidRPr="00107006">
              <w:rPr>
                <w:rFonts w:ascii="宋体" w:hAnsi="宋体"/>
                <w:kern w:val="0"/>
                <w:sz w:val="18"/>
                <w:szCs w:val="18"/>
              </w:rPr>
              <w:t>7</w:t>
            </w:r>
          </w:p>
        </w:tc>
        <w:tc>
          <w:tcPr>
            <w:tcW w:w="2286" w:type="dxa"/>
            <w:tcBorders>
              <w:top w:val="single" w:sz="4" w:space="0" w:color="auto"/>
              <w:left w:val="nil"/>
              <w:bottom w:val="single" w:sz="4" w:space="0" w:color="auto"/>
              <w:right w:val="single" w:sz="4" w:space="0" w:color="auto"/>
            </w:tcBorders>
            <w:noWrap/>
            <w:vAlign w:val="center"/>
          </w:tcPr>
          <w:p w:rsidR="00730B4D" w:rsidRPr="00107006" w:rsidRDefault="00730B4D" w:rsidP="002E0356">
            <w:pPr>
              <w:widowControl/>
              <w:rPr>
                <w:rFonts w:ascii="宋体" w:hAnsi="宋体"/>
                <w:kern w:val="0"/>
                <w:sz w:val="18"/>
                <w:szCs w:val="18"/>
              </w:rPr>
            </w:pPr>
            <w:r w:rsidRPr="00107006">
              <w:rPr>
                <w:rFonts w:ascii="宋体" w:hAnsi="宋体"/>
                <w:kern w:val="0"/>
                <w:sz w:val="18"/>
                <w:szCs w:val="18"/>
              </w:rPr>
              <w:t>作业（20分）</w:t>
            </w:r>
          </w:p>
        </w:tc>
        <w:tc>
          <w:tcPr>
            <w:tcW w:w="984" w:type="dxa"/>
            <w:tcBorders>
              <w:top w:val="single" w:sz="4" w:space="0" w:color="auto"/>
              <w:left w:val="nil"/>
              <w:bottom w:val="single" w:sz="4" w:space="0" w:color="auto"/>
              <w:right w:val="single" w:sz="4" w:space="0" w:color="auto"/>
            </w:tcBorders>
            <w:noWrap/>
            <w:vAlign w:val="center"/>
          </w:tcPr>
          <w:p w:rsidR="00730B4D" w:rsidRPr="00107006" w:rsidRDefault="00730B4D" w:rsidP="002E0356">
            <w:pPr>
              <w:widowControl/>
              <w:jc w:val="left"/>
              <w:rPr>
                <w:rFonts w:ascii="宋体" w:hAnsi="宋体"/>
                <w:kern w:val="0"/>
                <w:sz w:val="18"/>
                <w:szCs w:val="18"/>
              </w:rPr>
            </w:pPr>
          </w:p>
        </w:tc>
        <w:tc>
          <w:tcPr>
            <w:tcW w:w="3651" w:type="dxa"/>
            <w:gridSpan w:val="2"/>
            <w:tcBorders>
              <w:top w:val="single" w:sz="4" w:space="0" w:color="auto"/>
              <w:left w:val="nil"/>
              <w:bottom w:val="single" w:sz="4" w:space="0" w:color="auto"/>
              <w:right w:val="single" w:sz="4" w:space="0" w:color="auto"/>
            </w:tcBorders>
            <w:vAlign w:val="center"/>
          </w:tcPr>
          <w:p w:rsidR="00730B4D" w:rsidRPr="00107006" w:rsidRDefault="00730B4D" w:rsidP="002E0356">
            <w:pPr>
              <w:widowControl/>
              <w:jc w:val="left"/>
              <w:rPr>
                <w:rFonts w:ascii="宋体" w:hAnsi="宋体"/>
                <w:kern w:val="0"/>
                <w:sz w:val="18"/>
                <w:szCs w:val="18"/>
              </w:rPr>
            </w:pPr>
            <w:r w:rsidRPr="00107006">
              <w:rPr>
                <w:rFonts w:ascii="宋体" w:hAnsi="宋体"/>
                <w:kern w:val="0"/>
                <w:sz w:val="18"/>
                <w:szCs w:val="18"/>
              </w:rPr>
              <w:t>1、监管区域标识明显；                             2、质物标识标签明显；                            3、装卸搬运操作规范；                            4、质物存放安全；                                 5、盘点规定及记录；                              6、帐卡物相符率；                                7、电话、打印机、传真机、计算机配备情况；                                8、监视探头使用情况；                            9、监管员工作环境。</w:t>
            </w:r>
          </w:p>
        </w:tc>
      </w:tr>
      <w:tr w:rsidR="00730B4D" w:rsidRPr="00107006" w:rsidTr="002E0356">
        <w:trPr>
          <w:trHeight w:val="1425"/>
          <w:jc w:val="center"/>
        </w:trPr>
        <w:tc>
          <w:tcPr>
            <w:tcW w:w="937" w:type="dxa"/>
            <w:tcBorders>
              <w:top w:val="single" w:sz="4" w:space="0" w:color="auto"/>
              <w:left w:val="single" w:sz="4" w:space="0" w:color="auto"/>
              <w:bottom w:val="single" w:sz="4" w:space="0" w:color="auto"/>
              <w:right w:val="single" w:sz="4" w:space="0" w:color="auto"/>
            </w:tcBorders>
            <w:noWrap/>
            <w:vAlign w:val="center"/>
          </w:tcPr>
          <w:p w:rsidR="00730B4D" w:rsidRPr="00107006" w:rsidRDefault="00730B4D" w:rsidP="002E0356">
            <w:pPr>
              <w:widowControl/>
              <w:jc w:val="left"/>
              <w:rPr>
                <w:rFonts w:ascii="宋体" w:hAnsi="宋体"/>
                <w:kern w:val="0"/>
                <w:sz w:val="18"/>
                <w:szCs w:val="18"/>
              </w:rPr>
            </w:pPr>
            <w:r w:rsidRPr="00107006">
              <w:rPr>
                <w:rFonts w:ascii="宋体" w:hAnsi="宋体"/>
                <w:kern w:val="0"/>
                <w:sz w:val="18"/>
                <w:szCs w:val="18"/>
              </w:rPr>
              <w:t>诚信情况</w:t>
            </w:r>
          </w:p>
        </w:tc>
        <w:tc>
          <w:tcPr>
            <w:tcW w:w="947" w:type="dxa"/>
            <w:tcBorders>
              <w:top w:val="single" w:sz="4" w:space="0" w:color="auto"/>
              <w:left w:val="nil"/>
              <w:bottom w:val="single" w:sz="4" w:space="0" w:color="auto"/>
              <w:right w:val="single" w:sz="4" w:space="0" w:color="auto"/>
            </w:tcBorders>
            <w:noWrap/>
            <w:vAlign w:val="center"/>
          </w:tcPr>
          <w:p w:rsidR="00730B4D" w:rsidRPr="00107006" w:rsidRDefault="00730B4D" w:rsidP="002E0356">
            <w:pPr>
              <w:widowControl/>
              <w:jc w:val="center"/>
              <w:rPr>
                <w:rFonts w:ascii="宋体" w:hAnsi="宋体"/>
                <w:kern w:val="0"/>
                <w:sz w:val="18"/>
                <w:szCs w:val="18"/>
              </w:rPr>
            </w:pPr>
            <w:r w:rsidRPr="00107006">
              <w:rPr>
                <w:rFonts w:ascii="宋体" w:hAnsi="宋体"/>
                <w:kern w:val="0"/>
                <w:sz w:val="18"/>
                <w:szCs w:val="18"/>
              </w:rPr>
              <w:t>8</w:t>
            </w:r>
          </w:p>
        </w:tc>
        <w:tc>
          <w:tcPr>
            <w:tcW w:w="2286" w:type="dxa"/>
            <w:tcBorders>
              <w:top w:val="single" w:sz="4" w:space="0" w:color="auto"/>
              <w:left w:val="nil"/>
              <w:bottom w:val="single" w:sz="4" w:space="0" w:color="auto"/>
              <w:right w:val="single" w:sz="4" w:space="0" w:color="auto"/>
            </w:tcBorders>
            <w:noWrap/>
            <w:vAlign w:val="center"/>
          </w:tcPr>
          <w:p w:rsidR="00730B4D" w:rsidRPr="00107006" w:rsidRDefault="00730B4D" w:rsidP="002E0356">
            <w:pPr>
              <w:widowControl/>
              <w:rPr>
                <w:rFonts w:ascii="宋体" w:hAnsi="宋体"/>
                <w:kern w:val="0"/>
                <w:sz w:val="18"/>
                <w:szCs w:val="18"/>
              </w:rPr>
            </w:pPr>
            <w:r w:rsidRPr="00107006">
              <w:rPr>
                <w:rFonts w:ascii="宋体" w:hAnsi="宋体"/>
                <w:kern w:val="0"/>
                <w:sz w:val="18"/>
                <w:szCs w:val="18"/>
              </w:rPr>
              <w:t>信誉（20分）</w:t>
            </w:r>
          </w:p>
        </w:tc>
        <w:tc>
          <w:tcPr>
            <w:tcW w:w="984" w:type="dxa"/>
            <w:tcBorders>
              <w:top w:val="single" w:sz="4" w:space="0" w:color="auto"/>
              <w:left w:val="nil"/>
              <w:bottom w:val="single" w:sz="4" w:space="0" w:color="auto"/>
              <w:right w:val="single" w:sz="4" w:space="0" w:color="auto"/>
            </w:tcBorders>
            <w:noWrap/>
            <w:vAlign w:val="center"/>
          </w:tcPr>
          <w:p w:rsidR="00730B4D" w:rsidRPr="00107006" w:rsidRDefault="00730B4D" w:rsidP="002E0356">
            <w:pPr>
              <w:widowControl/>
              <w:jc w:val="left"/>
              <w:rPr>
                <w:rFonts w:ascii="宋体" w:hAnsi="宋体"/>
                <w:kern w:val="0"/>
                <w:sz w:val="18"/>
                <w:szCs w:val="18"/>
              </w:rPr>
            </w:pPr>
          </w:p>
        </w:tc>
        <w:tc>
          <w:tcPr>
            <w:tcW w:w="3651" w:type="dxa"/>
            <w:gridSpan w:val="2"/>
            <w:tcBorders>
              <w:top w:val="single" w:sz="4" w:space="0" w:color="auto"/>
              <w:left w:val="nil"/>
              <w:bottom w:val="single" w:sz="4" w:space="0" w:color="auto"/>
              <w:right w:val="single" w:sz="4" w:space="0" w:color="auto"/>
            </w:tcBorders>
            <w:vAlign w:val="center"/>
          </w:tcPr>
          <w:p w:rsidR="00730B4D" w:rsidRPr="00107006" w:rsidRDefault="00730B4D" w:rsidP="002E0356">
            <w:pPr>
              <w:widowControl/>
              <w:jc w:val="left"/>
              <w:rPr>
                <w:rFonts w:ascii="宋体" w:hAnsi="宋体"/>
                <w:kern w:val="0"/>
                <w:sz w:val="18"/>
                <w:szCs w:val="18"/>
              </w:rPr>
            </w:pPr>
            <w:r w:rsidRPr="00107006">
              <w:rPr>
                <w:rFonts w:ascii="宋体" w:hAnsi="宋体"/>
                <w:kern w:val="0"/>
                <w:sz w:val="18"/>
                <w:szCs w:val="18"/>
              </w:rPr>
              <w:t>1、银行</w:t>
            </w:r>
            <w:r w:rsidRPr="00107006">
              <w:rPr>
                <w:rFonts w:ascii="宋体" w:hAnsi="宋体" w:hint="eastAsia"/>
                <w:kern w:val="0"/>
                <w:sz w:val="18"/>
                <w:szCs w:val="18"/>
              </w:rPr>
              <w:t>评</w:t>
            </w:r>
            <w:r w:rsidRPr="00107006">
              <w:rPr>
                <w:rFonts w:ascii="宋体" w:hAnsi="宋体"/>
                <w:kern w:val="0"/>
                <w:sz w:val="18"/>
                <w:szCs w:val="18"/>
              </w:rPr>
              <w:t>信用等级；                                2、不良行为记录；                                3、安全事故史；                                  4、重大诉讼事项；                                 5、质量</w:t>
            </w:r>
            <w:r w:rsidRPr="00107006">
              <w:rPr>
                <w:rFonts w:ascii="宋体" w:hAnsi="宋体" w:hint="eastAsia"/>
                <w:kern w:val="0"/>
                <w:sz w:val="18"/>
                <w:szCs w:val="18"/>
              </w:rPr>
              <w:t>ISO</w:t>
            </w:r>
            <w:r w:rsidRPr="00107006">
              <w:rPr>
                <w:rFonts w:ascii="宋体" w:hAnsi="宋体"/>
                <w:kern w:val="0"/>
                <w:sz w:val="18"/>
                <w:szCs w:val="18"/>
              </w:rPr>
              <w:t>9001认证情况。</w:t>
            </w:r>
          </w:p>
        </w:tc>
      </w:tr>
      <w:tr w:rsidR="00730B4D" w:rsidRPr="00107006" w:rsidTr="002E0356">
        <w:trPr>
          <w:trHeight w:val="388"/>
          <w:jc w:val="center"/>
        </w:trPr>
        <w:tc>
          <w:tcPr>
            <w:tcW w:w="4170" w:type="dxa"/>
            <w:gridSpan w:val="3"/>
            <w:tcBorders>
              <w:top w:val="single" w:sz="4" w:space="0" w:color="auto"/>
              <w:left w:val="single" w:sz="4" w:space="0" w:color="auto"/>
              <w:bottom w:val="single" w:sz="4" w:space="0" w:color="auto"/>
              <w:right w:val="single" w:sz="4" w:space="0" w:color="auto"/>
            </w:tcBorders>
            <w:noWrap/>
            <w:vAlign w:val="center"/>
          </w:tcPr>
          <w:p w:rsidR="00730B4D" w:rsidRPr="00107006" w:rsidRDefault="00730B4D" w:rsidP="002E0356">
            <w:pPr>
              <w:widowControl/>
              <w:jc w:val="left"/>
              <w:rPr>
                <w:rFonts w:ascii="宋体" w:hAnsi="宋体" w:hint="eastAsia"/>
                <w:kern w:val="0"/>
                <w:sz w:val="18"/>
                <w:szCs w:val="18"/>
              </w:rPr>
            </w:pPr>
            <w:r w:rsidRPr="00107006">
              <w:rPr>
                <w:rFonts w:ascii="宋体" w:hAnsi="宋体" w:hint="eastAsia"/>
                <w:kern w:val="0"/>
                <w:sz w:val="18"/>
                <w:szCs w:val="18"/>
              </w:rPr>
              <w:t>综合评估结果（100分）</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730B4D" w:rsidRPr="00107006" w:rsidRDefault="00730B4D" w:rsidP="002E0356">
            <w:pPr>
              <w:widowControl/>
              <w:jc w:val="left"/>
              <w:rPr>
                <w:rFonts w:ascii="宋体" w:hAnsi="宋体" w:hint="eastAsia"/>
                <w:kern w:val="0"/>
                <w:sz w:val="18"/>
                <w:szCs w:val="18"/>
              </w:rPr>
            </w:pPr>
          </w:p>
        </w:tc>
        <w:tc>
          <w:tcPr>
            <w:tcW w:w="3645" w:type="dxa"/>
            <w:tcBorders>
              <w:top w:val="single" w:sz="4" w:space="0" w:color="auto"/>
              <w:left w:val="single" w:sz="4" w:space="0" w:color="auto"/>
              <w:bottom w:val="single" w:sz="4" w:space="0" w:color="auto"/>
              <w:right w:val="single" w:sz="4" w:space="0" w:color="auto"/>
            </w:tcBorders>
            <w:vAlign w:val="center"/>
          </w:tcPr>
          <w:p w:rsidR="00730B4D" w:rsidRPr="00107006" w:rsidRDefault="00730B4D" w:rsidP="002E0356">
            <w:pPr>
              <w:widowControl/>
              <w:jc w:val="left"/>
              <w:rPr>
                <w:rFonts w:ascii="宋体" w:hAnsi="宋体" w:hint="eastAsia"/>
                <w:kern w:val="0"/>
                <w:sz w:val="18"/>
                <w:szCs w:val="18"/>
              </w:rPr>
            </w:pPr>
          </w:p>
        </w:tc>
      </w:tr>
    </w:tbl>
    <w:p w:rsidR="00730B4D" w:rsidRDefault="00730B4D" w:rsidP="00730B4D">
      <w:pPr>
        <w:jc w:val="center"/>
        <w:rPr>
          <w:rFonts w:ascii="仿宋" w:eastAsia="仿宋" w:hAnsi="仿宋" w:hint="eastAsia"/>
        </w:rPr>
      </w:pPr>
    </w:p>
    <w:p w:rsidR="00832D04" w:rsidRDefault="00730B4D"/>
    <w:sectPr w:rsidR="00832D04" w:rsidSect="00585C7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BE16C556"/>
    <w:lvl w:ilvl="0">
      <w:start w:val="1"/>
      <w:numFmt w:val="decimal"/>
      <w:pStyle w:val="a"/>
      <w:suff w:val="nothing"/>
      <w:lvlText w:val="%1　"/>
      <w:lvlJc w:val="left"/>
      <w:pPr>
        <w:ind w:left="284"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1"/>
      <w:suff w:val="nothing"/>
      <w:lvlText w:val="%1.%2.%3　"/>
      <w:lvlJc w:val="left"/>
      <w:pPr>
        <w:ind w:left="170" w:firstLine="0"/>
      </w:pPr>
      <w:rPr>
        <w:rFonts w:ascii="黑体" w:eastAsia="黑体" w:hAnsi="Times New Roman" w:hint="eastAsia"/>
        <w:b w:val="0"/>
        <w:i w:val="0"/>
        <w:sz w:val="21"/>
      </w:rPr>
    </w:lvl>
    <w:lvl w:ilvl="3">
      <w:start w:val="1"/>
      <w:numFmt w:val="decimal"/>
      <w:pStyle w:val="a2"/>
      <w:suff w:val="nothing"/>
      <w:lvlText w:val="%1.%2.%3.%4　"/>
      <w:lvlJc w:val="left"/>
      <w:pPr>
        <w:ind w:left="426"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30B4D"/>
    <w:rsid w:val="00050C5B"/>
    <w:rsid w:val="00057EFE"/>
    <w:rsid w:val="00072BB2"/>
    <w:rsid w:val="00074F39"/>
    <w:rsid w:val="000867A8"/>
    <w:rsid w:val="000C1403"/>
    <w:rsid w:val="000C7739"/>
    <w:rsid w:val="000F6049"/>
    <w:rsid w:val="001108B3"/>
    <w:rsid w:val="0013262C"/>
    <w:rsid w:val="001463B4"/>
    <w:rsid w:val="001743D4"/>
    <w:rsid w:val="00177111"/>
    <w:rsid w:val="001771C0"/>
    <w:rsid w:val="00240A21"/>
    <w:rsid w:val="00245513"/>
    <w:rsid w:val="002664CB"/>
    <w:rsid w:val="00275239"/>
    <w:rsid w:val="00281756"/>
    <w:rsid w:val="00293747"/>
    <w:rsid w:val="002F5626"/>
    <w:rsid w:val="00314514"/>
    <w:rsid w:val="00316C84"/>
    <w:rsid w:val="003754D3"/>
    <w:rsid w:val="003C00D6"/>
    <w:rsid w:val="00402A4A"/>
    <w:rsid w:val="0040376A"/>
    <w:rsid w:val="00416585"/>
    <w:rsid w:val="00432910"/>
    <w:rsid w:val="004445D7"/>
    <w:rsid w:val="0044582D"/>
    <w:rsid w:val="00496D83"/>
    <w:rsid w:val="004E5915"/>
    <w:rsid w:val="00534482"/>
    <w:rsid w:val="00541B41"/>
    <w:rsid w:val="00550C32"/>
    <w:rsid w:val="00585C7B"/>
    <w:rsid w:val="005C1C58"/>
    <w:rsid w:val="005C5C20"/>
    <w:rsid w:val="005D03E8"/>
    <w:rsid w:val="005D427C"/>
    <w:rsid w:val="005D66C6"/>
    <w:rsid w:val="00660F20"/>
    <w:rsid w:val="0069658E"/>
    <w:rsid w:val="007271EF"/>
    <w:rsid w:val="00727AE2"/>
    <w:rsid w:val="00730B4D"/>
    <w:rsid w:val="007533C9"/>
    <w:rsid w:val="007B67B4"/>
    <w:rsid w:val="007C24A2"/>
    <w:rsid w:val="00800486"/>
    <w:rsid w:val="00806667"/>
    <w:rsid w:val="00811017"/>
    <w:rsid w:val="0081160C"/>
    <w:rsid w:val="008923B4"/>
    <w:rsid w:val="0090116C"/>
    <w:rsid w:val="009147E9"/>
    <w:rsid w:val="009363F9"/>
    <w:rsid w:val="00952ABB"/>
    <w:rsid w:val="009B65AC"/>
    <w:rsid w:val="00A23CE3"/>
    <w:rsid w:val="00A35194"/>
    <w:rsid w:val="00A41E56"/>
    <w:rsid w:val="00B33165"/>
    <w:rsid w:val="00B855E7"/>
    <w:rsid w:val="00B90B3B"/>
    <w:rsid w:val="00C40424"/>
    <w:rsid w:val="00C52B4D"/>
    <w:rsid w:val="00C60563"/>
    <w:rsid w:val="00C73D07"/>
    <w:rsid w:val="00C768C3"/>
    <w:rsid w:val="00CD5DD6"/>
    <w:rsid w:val="00CE2AFD"/>
    <w:rsid w:val="00CF2848"/>
    <w:rsid w:val="00D0752E"/>
    <w:rsid w:val="00D24563"/>
    <w:rsid w:val="00D31ACA"/>
    <w:rsid w:val="00D54B58"/>
    <w:rsid w:val="00E26F21"/>
    <w:rsid w:val="00E51D92"/>
    <w:rsid w:val="00E74E58"/>
    <w:rsid w:val="00E847E7"/>
    <w:rsid w:val="00EB2572"/>
    <w:rsid w:val="00ED5483"/>
    <w:rsid w:val="00ED5F67"/>
    <w:rsid w:val="00EF7E3B"/>
    <w:rsid w:val="00F3475A"/>
    <w:rsid w:val="00FB607A"/>
    <w:rsid w:val="00FD0287"/>
    <w:rsid w:val="00FD17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730B4D"/>
    <w:pPr>
      <w:widowControl w:val="0"/>
      <w:jc w:val="both"/>
    </w:pPr>
    <w:rPr>
      <w:rFonts w:ascii="Times New Roman" w:eastAsia="宋体" w:hAnsi="Times New Roman" w:cs="Times New Roman"/>
      <w:szCs w:val="24"/>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9">
    <w:name w:val="段"/>
    <w:link w:val="Char"/>
    <w:rsid w:val="00730B4D"/>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link w:val="a9"/>
    <w:rsid w:val="00730B4D"/>
    <w:rPr>
      <w:rFonts w:ascii="宋体" w:eastAsia="宋体" w:hAnsi="Times New Roman" w:cs="Times New Roman"/>
      <w:noProof/>
      <w:kern w:val="0"/>
      <w:szCs w:val="20"/>
    </w:rPr>
  </w:style>
  <w:style w:type="paragraph" w:customStyle="1" w:styleId="a0">
    <w:name w:val="一级条标题"/>
    <w:next w:val="a9"/>
    <w:rsid w:val="00730B4D"/>
    <w:pPr>
      <w:numPr>
        <w:ilvl w:val="1"/>
        <w:numId w:val="1"/>
      </w:numPr>
      <w:spacing w:beforeLines="50" w:afterLines="50"/>
      <w:outlineLvl w:val="2"/>
    </w:pPr>
    <w:rPr>
      <w:rFonts w:ascii="黑体" w:eastAsia="黑体" w:hAnsi="Times New Roman" w:cs="Times New Roman"/>
      <w:kern w:val="0"/>
      <w:szCs w:val="21"/>
    </w:rPr>
  </w:style>
  <w:style w:type="paragraph" w:customStyle="1" w:styleId="a">
    <w:name w:val="章标题"/>
    <w:next w:val="a9"/>
    <w:rsid w:val="00730B4D"/>
    <w:pPr>
      <w:numPr>
        <w:numId w:val="1"/>
      </w:numPr>
      <w:spacing w:beforeLines="100" w:afterLines="100"/>
      <w:jc w:val="both"/>
      <w:outlineLvl w:val="1"/>
    </w:pPr>
    <w:rPr>
      <w:rFonts w:ascii="黑体" w:eastAsia="黑体" w:hAnsi="Times New Roman" w:cs="Times New Roman"/>
      <w:kern w:val="0"/>
      <w:szCs w:val="20"/>
    </w:rPr>
  </w:style>
  <w:style w:type="paragraph" w:customStyle="1" w:styleId="a1">
    <w:name w:val="二级条标题"/>
    <w:basedOn w:val="a0"/>
    <w:next w:val="a9"/>
    <w:rsid w:val="00730B4D"/>
    <w:pPr>
      <w:numPr>
        <w:ilvl w:val="2"/>
      </w:numPr>
      <w:spacing w:before="50" w:after="50"/>
      <w:outlineLvl w:val="3"/>
    </w:pPr>
  </w:style>
  <w:style w:type="paragraph" w:customStyle="1" w:styleId="a2">
    <w:name w:val="三级条标题"/>
    <w:basedOn w:val="a1"/>
    <w:next w:val="a9"/>
    <w:rsid w:val="00730B4D"/>
    <w:pPr>
      <w:numPr>
        <w:ilvl w:val="3"/>
      </w:numPr>
      <w:outlineLvl w:val="4"/>
    </w:pPr>
  </w:style>
  <w:style w:type="paragraph" w:customStyle="1" w:styleId="a3">
    <w:name w:val="四级条标题"/>
    <w:basedOn w:val="a2"/>
    <w:next w:val="a9"/>
    <w:rsid w:val="00730B4D"/>
    <w:pPr>
      <w:numPr>
        <w:ilvl w:val="4"/>
      </w:numPr>
      <w:outlineLvl w:val="5"/>
    </w:pPr>
  </w:style>
  <w:style w:type="paragraph" w:customStyle="1" w:styleId="a4">
    <w:name w:val="五级条标题"/>
    <w:basedOn w:val="a3"/>
    <w:next w:val="a9"/>
    <w:rsid w:val="00730B4D"/>
    <w:pPr>
      <w:numPr>
        <w:ilvl w:val="5"/>
      </w:numPr>
      <w:outlineLvl w:val="6"/>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512</Words>
  <Characters>2921</Characters>
  <Application>Microsoft Office Word</Application>
  <DocSecurity>0</DocSecurity>
  <Lines>24</Lines>
  <Paragraphs>6</Paragraphs>
  <ScaleCrop>false</ScaleCrop>
  <Company/>
  <LinksUpToDate>false</LinksUpToDate>
  <CharactersWithSpaces>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2015-03-18T10:27:00Z</dcterms:created>
  <dcterms:modified xsi:type="dcterms:W3CDTF">2015-03-18T10:28:00Z</dcterms:modified>
</cp:coreProperties>
</file>